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356A6" w14:textId="546F64EF" w:rsidR="0026000D" w:rsidRPr="008A7E71" w:rsidRDefault="00631EA6" w:rsidP="004B243F">
      <w:pPr>
        <w:pStyle w:val="MainTitle"/>
        <w:spacing w:line="204" w:lineRule="auto"/>
      </w:pPr>
      <w:r>
        <w:rPr>
          <w:noProof/>
        </w:rPr>
        <mc:AlternateContent>
          <mc:Choice Requires="wpg">
            <w:drawing>
              <wp:anchor distT="0" distB="0" distL="114300" distR="114300" simplePos="0" relativeHeight="251666432" behindDoc="1" locked="0" layoutInCell="1" allowOverlap="1" wp14:anchorId="16C1953A" wp14:editId="507FF73F">
                <wp:simplePos x="0" y="0"/>
                <wp:positionH relativeFrom="column">
                  <wp:posOffset>-457200</wp:posOffset>
                </wp:positionH>
                <wp:positionV relativeFrom="paragraph">
                  <wp:posOffset>6262</wp:posOffset>
                </wp:positionV>
                <wp:extent cx="7771765" cy="2968798"/>
                <wp:effectExtent l="0" t="0" r="635" b="3175"/>
                <wp:wrapNone/>
                <wp:docPr id="7" name="Group 7"/>
                <wp:cNvGraphicFramePr/>
                <a:graphic xmlns:a="http://schemas.openxmlformats.org/drawingml/2006/main">
                  <a:graphicData uri="http://schemas.microsoft.com/office/word/2010/wordprocessingGroup">
                    <wpg:wgp>
                      <wpg:cNvGrpSpPr/>
                      <wpg:grpSpPr>
                        <a:xfrm>
                          <a:off x="0" y="0"/>
                          <a:ext cx="7771765" cy="2968798"/>
                          <a:chOff x="0" y="0"/>
                          <a:chExt cx="7771765" cy="2968798"/>
                        </a:xfrm>
                      </wpg:grpSpPr>
                      <wpg:grpSp>
                        <wpg:cNvPr id="2" name="Group 2"/>
                        <wpg:cNvGrpSpPr/>
                        <wpg:grpSpPr>
                          <a:xfrm>
                            <a:off x="0" y="0"/>
                            <a:ext cx="7771765" cy="957580"/>
                            <a:chOff x="0" y="0"/>
                            <a:chExt cx="7771765" cy="957580"/>
                          </a:xfrm>
                        </wpg:grpSpPr>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6"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45B3A908" w14:textId="77777777" w:rsidR="00A95ADA" w:rsidRPr="00B27C10" w:rsidRDefault="00631EA6" w:rsidP="00A95ADA">
                                <w:pPr>
                                  <w:pStyle w:val="SubHeader"/>
                                  <w:rPr>
                                    <w:color w:val="5083C9"/>
                                    <w:sz w:val="32"/>
                                    <w:szCs w:val="32"/>
                                  </w:rPr>
                                </w:pPr>
                                <w:r>
                                  <w:rPr>
                                    <w:color w:val="5083C9"/>
                                    <w:sz w:val="32"/>
                                    <w:szCs w:val="32"/>
                                  </w:rPr>
                                  <w:t>HSA Eligibility Rules</w:t>
                                </w:r>
                              </w:p>
                            </w:txbxContent>
                          </wps:txbx>
                          <wps:bodyPr rot="0" vert="horz" wrap="square" lIns="91440" tIns="45720" rIns="91440" bIns="45720" anchor="t" anchorCtr="0"/>
                        </wps:wsp>
                      </wpg:grpSp>
                      <wps:wsp>
                        <wps:cNvPr id="217" name="Text Box 2"/>
                        <wps:cNvSpPr txBox="1">
                          <a:spLocks noChangeArrowheads="1"/>
                        </wps:cNvSpPr>
                        <wps:spPr bwMode="auto">
                          <a:xfrm>
                            <a:off x="5022273" y="360218"/>
                            <a:ext cx="2413000" cy="2608580"/>
                          </a:xfrm>
                          <a:prstGeom prst="rect">
                            <a:avLst/>
                          </a:prstGeom>
                          <a:noFill/>
                          <a:ln w="9525">
                            <a:noFill/>
                            <a:miter lim="800000"/>
                            <a:headEnd/>
                            <a:tailEnd/>
                          </a:ln>
                        </wps:spPr>
                        <wps:txbx>
                          <w:txbxContent>
                            <w:p w14:paraId="7AE8F228" w14:textId="77777777" w:rsidR="0024208C" w:rsidRDefault="00631EA6" w:rsidP="001B0FFB">
                              <w:pPr>
                                <w:pStyle w:val="BodyText"/>
                                <w:spacing w:after="80"/>
                              </w:pPr>
                              <w:r>
                                <w:t>To be HSA-eligible, an individual must:</w:t>
                              </w:r>
                            </w:p>
                            <w:p w14:paraId="559EECC7" w14:textId="77777777" w:rsidR="001B0FFB" w:rsidRDefault="00631EA6" w:rsidP="001B0FFB">
                              <w:pPr>
                                <w:pStyle w:val="Bullet"/>
                                <w:spacing w:after="80"/>
                                <w:ind w:left="360" w:hanging="274"/>
                              </w:pPr>
                              <w:r>
                                <w:t>Be covered by an HDHP;</w:t>
                              </w:r>
                            </w:p>
                            <w:p w14:paraId="4CEE7F0F" w14:textId="77777777" w:rsidR="001B0FFB" w:rsidRDefault="00631EA6" w:rsidP="001B0FFB">
                              <w:pPr>
                                <w:pStyle w:val="Bullet"/>
                                <w:spacing w:after="80"/>
                                <w:ind w:left="360" w:hanging="274"/>
                              </w:pPr>
                              <w:r>
                                <w:t>Not be covered by other health plan coverage that is not an HDHP (with certain exceptions);</w:t>
                              </w:r>
                            </w:p>
                            <w:p w14:paraId="748D4A72" w14:textId="77777777" w:rsidR="001B0FFB" w:rsidRDefault="00631EA6" w:rsidP="001B0FFB">
                              <w:pPr>
                                <w:pStyle w:val="Bullet"/>
                                <w:spacing w:after="80"/>
                                <w:ind w:left="360" w:hanging="274"/>
                              </w:pPr>
                              <w:r>
                                <w:t>Not be enrolled in Medicare; and</w:t>
                              </w:r>
                            </w:p>
                            <w:p w14:paraId="6B6DFC1C" w14:textId="77777777" w:rsidR="001B0FFB" w:rsidRPr="00526C74" w:rsidRDefault="00631EA6" w:rsidP="001B0FFB">
                              <w:pPr>
                                <w:pStyle w:val="Bullet"/>
                                <w:spacing w:after="80"/>
                                <w:ind w:left="360" w:hanging="274"/>
                              </w:pPr>
                              <w:r>
                                <w:t xml:space="preserve">Not be eligible to be claimed as a </w:t>
                              </w:r>
                              <w:r>
                                <w:t>dependent on another person's tax return.</w:t>
                              </w:r>
                            </w:p>
                          </w:txbxContent>
                        </wps:txbx>
                        <wps:bodyPr rot="0" vert="horz" wrap="square" lIns="91440" tIns="45720" rIns="91440" bIns="45720" anchor="t" anchorCtr="0"/>
                      </wps:wsp>
                    </wpg:wgp>
                  </a:graphicData>
                </a:graphic>
              </wp:anchor>
            </w:drawing>
          </mc:Choice>
          <mc:Fallback>
            <w:pict>
              <v:group w14:anchorId="16C1953A" id="Group 7" o:spid="_x0000_s1026" style="position:absolute;margin-left:-36pt;margin-top:.5pt;width:611.95pt;height:233.75pt;z-index:-251650048" coordsize="77717,29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VKffAMAAKAKAAAOAAAAZHJzL2Uyb0RvYy54bWzMVtuO0zAQfUfiHyy/&#10;s2nTbdJGm0XAXoTEpWLhA1zHaSwS29jupsvXM+Okd1bsrrTAQ1NfZ84Znxn77PWqqcmtsE5qldPh&#10;yYASobgupFrk9NvXq1cTSpxnqmC1ViKnd8LR1+cvX5y1JhOxrnRdCEvAiHJZa3JaeW+yKHK8Eg1z&#10;J9oIBZOltg3z0LWLqLCsBetNHcWDQRK12hbGai6cg9GLbpKeB/tlKbj/XJZOeFLnFLD58LXhO8dv&#10;dH7GsoVlppK8h8GegKJhUoHTjakL5hlZWnlkqpHcaqdLf8J1E+mylFwEDsBmODhgc2310gQui6xd&#10;mE2YILQHcXqyWf7pdmaJLHKaUqJYA0cUvJIUQ9OaRQYrrq25MTPbDyy6HrJdlbbBf+BBViGod5ug&#10;ipUnHAbTNB2myZgSDnPxNJmk00kXdl7B2Rzt49XlH3ZGa8cR4tvA2XQ2uHtm8T6z+FmYTcfpeNLr&#10;6VHEthvv4WUkz+DXnz60jk7/z1kCu/zSCtobaR5ko2H2+9K8AqEa5uVc1tLfhaQDSSIodTuTfGa7&#10;zlZIo3W4YRadkhEGHDfgmm4HQ0YfNP/uiNLvKqYW4o0zkK1QQ3B1tL88dPfczWtprmRdo/qw3ROD&#10;zD7IjN/Epsu6C82XjVC+KyNW1MBRK1dJ4yixmWjmArLCvi8CIJY5b4XnFToswfEXAItAdyYCyi0w&#10;pOAgbe5NlFGcJkkvmd9mSxJPp3FYsJEGBM46fy10Q7ABAAEHnAfL2O0H1yNaL+nj2IEI6AATZgfU&#10;WrcOGfSOgvaocnJTMSMAAprdqiBZq+ArUnurV6TPu7AIywnxKxjGA0f4zhzIwVrdVoIVgK6TRG8f&#10;t3bOkBeZtx91AVWLLb0Ohg5q0ngQDzExyXFlik+Ho8EAprAyjeLpGKpUd6RrG+tAPijWLFMaJQkm&#10;WFYr0uZ0Oo7HAdTOTCM93Hi1bHI6Ae/gP2xAqpeqCG3PZN214dxrBceI3JFuR9yv5itYiINzXdxB&#10;FKwGKQATuImhUWn7k5IWbrWcuh9Lholfv1cQyenw9BSvwdA5HaegLmJ3Z+a7M0xxMJVTT0nXfOfD&#10;1Qm+AyIQUWj1RbhD9OzKioebq+rfayuOU6h3qJ8EhNZfbOtk3hNYnAwm/Q3x1Gz+uwoLr4KQev+R&#10;0OAZBJLbe2ft9oMctw/L818AAAD//wMAUEsDBAoAAAAAAAAAIQDYcpYEgQQAAIEEAAAUAAAAZHJz&#10;L21lZGlhL2ltYWdlMS5wbmeJUE5HDQoaCgAAAA1JSERSAAAGpQAAAIoIAgAAAKwG1y0AAAAJcEhZ&#10;cwAAFiUAABYlAUlSJPAAAAQzSURBVHic7dyxCUJBFEXBVey/AxsxsAjBWAwVA0EUBeFbh2dnSng3&#10;O7C7WpZlAAAA/L/T5bXdnQ0JwOQ2sx8AAACoeL6/x/PDnABMbj37AQAAAAAgRO8DAAAAgA7/9wEA&#10;ABHX+2d/uFkTgMnpfQAAAADQ4T0vAAAAAHTofQAAAADQofcBAAAAQIfeBwAAAAAdeh8AAAAAdOh9&#10;AAAAANCh9wEAAABAh94HAAAAAB16HwAAAAB06H0AAAAA0KH3AQAAAECH3gcAAAAAHXofAAAAAHTo&#10;fQAAAADQofcBAAAAQIfeBwAAAAAdeh8AAAAAdOh9AAAAANCh9wEAAABAh94HAAAAAB16HwAAAAB0&#10;6H0AAAAA0KH3AQAAAECH3gcAAAAAHXofAAAAAHTofQAAAADQofcBAAAAQIfeBwAAAAAdeh8AAAAA&#10;dOh9AAAAANCh9wEAAABAh94HAAAAAB16HwAAAAB06H0AAAAA0KH3AQAAAECH3gcAAAAAHXofAAAA&#10;AHTofQAAAADQofcBAAAAQIfeBwAAAAAdeh8AAAAAdOh9AAAAANCh9wEAAABAh94HAAAAAB16HwAA&#10;AAB06H0AAAAA0KH3AQAAAECH3gcAAAAAHXofAAAAAHTofQAAAADQofcBAAAAQIfeBwAAAAAdeh8A&#10;AAAAdOh9AAAAANCh9wEAAABAh94HAAAAAB16HwAAAAB06H0AAAAA0KH3AQAAAECH3gcAAAAAHXof&#10;AAAAAHTofQAAAADQofcBAAAAQIfeBwAAAAAdeh8AAAAAdOh9AAAAANCh9wEAAABAh94HAAAAAB16&#10;HwAAAAB06H0AAAAA0KH3AQAAAECH3gcAAAAAHXofAAAAAHTofQAAAADQofcBAAAAQIfeBwAAAAAd&#10;eh8AAAAAdOh9AAAAANCh9wEAAABAh94HAAAAAB16HwAAAAB06H0AAAAA0KH3AQAAAECH3gcAAAAA&#10;HXofAAAAAHTofQAAAADQofcBAAAAQIfeBwAAAAAdeh8AAAAAdOh9AAAAANCh9wEAAABAh94HAAAA&#10;AB16HwAAAAB06H0AAAAA0KH3AQAAAECH3gcAAAAAHXofAAAAAHTofQAAAADQofcBAAAAQIfeBwAA&#10;AAAdeh8AAAAAdOh9AAAAANCh9wEAAABAh94HAAAAAB16HwAAAAB06H0AAAAA0KH3AQAAAECH3gcA&#10;AAAAHXofAAAAAHTofQAAAADQofcBAAAAQIfeBwAAAAAdeh8AAAAAdOh9AAAAANCh9wEAAABAh94H&#10;AAAAAB16HwAAAAB06H0AAAAA0KH3AQAAAECH3gcAAAAAHXofAAAAAHTofQAAAADQofcBAAAAQIfe&#10;BwAAAAAdeh8AAAAAdOh9AAAAANCh9wEAAABAh94HAAAAAB16HwAAAAB06H0AAAAA0KH3AQAAAECH&#10;3gcAAAAAEWOMH2bcGeK+YnEFAAAAAElFTkSuQmCCUEsDBBQABgAIAAAAIQCvOEXy4QAAAAoBAAAP&#10;AAAAZHJzL2Rvd25yZXYueG1sTI/BasJAEIbvhb7DMoXedLO2sZpmIyJtT1KoFoq3MRmTYHY2ZNck&#10;vn3XU3sahm/45/vT1Wga0VPnassa1DQCQZzbouZSw/f+fbIA4TxygY1l0nAlB6vs/i7FpLADf1G/&#10;86UIIewS1FB53yZSurwig25qW+LATrYz6MPalbLocAjhppGzKJpLgzWHDxW2tKkoP+8uRsPHgMP6&#10;Sb312/Npcz3s48+frSKtHx/G9SsIT6P/O4abflCHLDgd7YULJxoNk5dZ6OIDCOPGVayWII4anueL&#10;GGSWyv8Vs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clS&#10;n3wDAACgCgAADgAAAAAAAAAAAAAAAAA6AgAAZHJzL2Uyb0RvYy54bWxQSwECLQAKAAAAAAAAACEA&#10;2HKWBIEEAACBBAAAFAAAAAAAAAAAAAAAAADiBQAAZHJzL21lZGlhL2ltYWdlMS5wbmdQSwECLQAU&#10;AAYACAAAACEArzhF8uEAAAAKAQAADwAAAAAAAAAAAAAAAACVCgAAZHJzL2Rvd25yZXYueG1sUEsB&#10;Ai0AFAAGAAgAAAAhAKomDr68AAAAIQEAABkAAAAAAAAAAAAAAAAAowsAAGRycy9fcmVscy9lMm9E&#10;b2MueG1sLnJlbHNQSwUGAAAAAAYABgB8AQAAlgwAAAAA&#10;">
                <v:group id="Group 2" o:spid="_x0000_s1027" style="position:absolute;width:77717;height:9575" coordsize="7771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3" o:spid="_x0000_s1028" type="#_x0000_t75" style="position:absolute;top:3276;width:7771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PvxAAAANoAAAAPAAAAZHJzL2Rvd25yZXYueG1sRI/dagIx&#10;FITvC75DOIXedbO1UGRrFBUKpYrYbb0/bs7+4OZkm8R1+/ZGELwcZuYbZjofTCt6cr6xrOAlSUEQ&#10;F1Y3XCn4/fl4noDwAVlja5kU/JOH+Wz0MMVM2zN/U5+HSkQI+wwV1CF0mZS+qMmgT2xHHL3SOoMh&#10;SldJ7fAc4aaV4zR9kwYbjgs1drSqqTjmJ6Ngm38N5b48pPvj4tTvNku3/hs7pZ4eh8U7iEBDuIdv&#10;7U+t4BWuV+INkLMLAAAA//8DAFBLAQItABQABgAIAAAAIQDb4fbL7gAAAIUBAAATAAAAAAAAAAAA&#10;AAAAAAAAAABbQ29udGVudF9UeXBlc10ueG1sUEsBAi0AFAAGAAgAAAAhAFr0LFu/AAAAFQEAAAsA&#10;AAAAAAAAAAAAAAAAHwEAAF9yZWxzLy5yZWxzUEsBAi0AFAAGAAgAAAAhANqrc+/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2" o:spid="_x0000_s1029" type="#_x0000_t202" style="position:absolute;left:50215;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5B3A908" w14:textId="77777777" w:rsidR="00A95ADA" w:rsidRPr="00B27C10" w:rsidRDefault="00631EA6" w:rsidP="00A95ADA">
                          <w:pPr>
                            <w:pStyle w:val="SubHeader"/>
                            <w:rPr>
                              <w:color w:val="5083C9"/>
                              <w:sz w:val="32"/>
                              <w:szCs w:val="32"/>
                            </w:rPr>
                          </w:pPr>
                          <w:r>
                            <w:rPr>
                              <w:color w:val="5083C9"/>
                              <w:sz w:val="32"/>
                              <w:szCs w:val="32"/>
                            </w:rPr>
                            <w:t>HSA Eligibility Rules</w:t>
                          </w:r>
                        </w:p>
                      </w:txbxContent>
                    </v:textbox>
                  </v:shape>
                </v:group>
                <v:shape id="Text Box 2" o:spid="_x0000_s1030" type="#_x0000_t202" style="position:absolute;left:50222;top:3602;width:24130;height:26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AE8F228" w14:textId="77777777" w:rsidR="0024208C" w:rsidRDefault="00631EA6" w:rsidP="001B0FFB">
                        <w:pPr>
                          <w:pStyle w:val="BodyText"/>
                          <w:spacing w:after="80"/>
                        </w:pPr>
                        <w:r>
                          <w:t>To be HSA-eligible, an individual must:</w:t>
                        </w:r>
                      </w:p>
                      <w:p w14:paraId="559EECC7" w14:textId="77777777" w:rsidR="001B0FFB" w:rsidRDefault="00631EA6" w:rsidP="001B0FFB">
                        <w:pPr>
                          <w:pStyle w:val="Bullet"/>
                          <w:spacing w:after="80"/>
                          <w:ind w:left="360" w:hanging="274"/>
                        </w:pPr>
                        <w:r>
                          <w:t>Be covered by an HDHP;</w:t>
                        </w:r>
                      </w:p>
                      <w:p w14:paraId="4CEE7F0F" w14:textId="77777777" w:rsidR="001B0FFB" w:rsidRDefault="00631EA6" w:rsidP="001B0FFB">
                        <w:pPr>
                          <w:pStyle w:val="Bullet"/>
                          <w:spacing w:after="80"/>
                          <w:ind w:left="360" w:hanging="274"/>
                        </w:pPr>
                        <w:r>
                          <w:t>Not be covered by other health plan coverage that is not an HDHP (with certain exceptions);</w:t>
                        </w:r>
                      </w:p>
                      <w:p w14:paraId="748D4A72" w14:textId="77777777" w:rsidR="001B0FFB" w:rsidRDefault="00631EA6" w:rsidP="001B0FFB">
                        <w:pPr>
                          <w:pStyle w:val="Bullet"/>
                          <w:spacing w:after="80"/>
                          <w:ind w:left="360" w:hanging="274"/>
                        </w:pPr>
                        <w:r>
                          <w:t>Not be enrolled in Medicare; and</w:t>
                        </w:r>
                      </w:p>
                      <w:p w14:paraId="6B6DFC1C" w14:textId="77777777" w:rsidR="001B0FFB" w:rsidRPr="00526C74" w:rsidRDefault="00631EA6" w:rsidP="001B0FFB">
                        <w:pPr>
                          <w:pStyle w:val="Bullet"/>
                          <w:spacing w:after="80"/>
                          <w:ind w:left="360" w:hanging="274"/>
                        </w:pPr>
                        <w:r>
                          <w:t xml:space="preserve">Not be eligible to be claimed as a </w:t>
                        </w:r>
                        <w:r>
                          <w:t>dependent on another person's tax return.</w:t>
                        </w:r>
                      </w:p>
                    </w:txbxContent>
                  </v:textbox>
                </v:shape>
              </v:group>
            </w:pict>
          </mc:Fallback>
        </mc:AlternateContent>
      </w:r>
      <w:r w:rsidR="0098636D" w:rsidRPr="008A7E71">
        <w:t>Te</w:t>
      </w:r>
      <w:r w:rsidR="005A473B">
        <w:t>lemedicine – Impact on HSA Eligibility</w:t>
      </w:r>
    </w:p>
    <w:p w14:paraId="042FFA19" w14:textId="77777777" w:rsidR="004B243F" w:rsidRDefault="00631EA6" w:rsidP="004B243F">
      <w:pPr>
        <w:pStyle w:val="BodyText"/>
        <w:spacing w:after="120"/>
      </w:pPr>
      <w:r>
        <w:t>Telemedicine is becoming a popular method of providing a variety of medical services. Some employers offer a telemedicine benefit that allows employees to interact with heal</w:t>
      </w:r>
      <w:r>
        <w:t>th care professionals via phone, video chat, email or text for diagnosis, consultation and treatment. Employers that offer high deductible health plans (HDHPs) that are compatible with health savings accounts (HSAs) should consider how a telemedicine benef</w:t>
      </w:r>
      <w:r>
        <w:t xml:space="preserve">it may impact participants’ HSA eligibility.  </w:t>
      </w:r>
    </w:p>
    <w:p w14:paraId="3F9A31C0" w14:textId="77777777" w:rsidR="004B243F" w:rsidRDefault="00631EA6" w:rsidP="004B243F">
      <w:pPr>
        <w:pStyle w:val="BodyText"/>
        <w:spacing w:after="120"/>
      </w:pPr>
      <w:r>
        <w:t>The Internal Revenue Service (IRS) has not specifically addressed the impact of telemedicine on HSA eligibility. However, the general rules for HSA contributions strictly limit the types of health plan coverag</w:t>
      </w:r>
      <w:r>
        <w:t>e that eligible individuals may have. Whether telemedicine is disqualifying coverage for HSA purposes depends on how the telemedicine benefit is structured. Employers that want to offer a telemedicine benefit while preserving HSA eligibility will need to m</w:t>
      </w:r>
      <w:r>
        <w:t>ake sure that the telemedicine benefit is designed in a way that is HSA–compatible.</w:t>
      </w:r>
    </w:p>
    <w:p w14:paraId="19737416" w14:textId="4D8A4A12" w:rsidR="00A357CD" w:rsidRPr="00C84C66" w:rsidRDefault="00631EA6" w:rsidP="004B243F">
      <w:pPr>
        <w:pStyle w:val="BodyText"/>
        <w:spacing w:after="120"/>
        <w:sectPr w:rsidR="00A357CD" w:rsidRPr="00C84C66" w:rsidSect="008A7E71">
          <w:headerReference w:type="default" r:id="rId9"/>
          <w:footerReference w:type="default" r:id="rId10"/>
          <w:pgSz w:w="12240" w:h="15840"/>
          <w:pgMar w:top="3946" w:right="4680" w:bottom="1440" w:left="720" w:header="720" w:footer="720" w:gutter="0"/>
          <w:cols w:space="720"/>
          <w:docGrid w:linePitch="360"/>
        </w:sectPr>
      </w:pPr>
      <w:r w:rsidRPr="002E70AE">
        <w:rPr>
          <w:b/>
          <w:i/>
          <w:noProof/>
          <w:color w:val="FF0000"/>
          <w:sz w:val="24"/>
          <w:szCs w:val="24"/>
        </w:rPr>
        <mc:AlternateContent>
          <mc:Choice Requires="wps">
            <w:drawing>
              <wp:anchor distT="0" distB="0" distL="114300" distR="114300" simplePos="0" relativeHeight="251660288" behindDoc="0" locked="0" layoutInCell="1" allowOverlap="1" wp14:anchorId="08509809" wp14:editId="71EF49A1">
                <wp:simplePos x="0" y="0"/>
                <wp:positionH relativeFrom="margin">
                  <wp:posOffset>-95250</wp:posOffset>
                </wp:positionH>
                <wp:positionV relativeFrom="margin">
                  <wp:posOffset>5981065</wp:posOffset>
                </wp:positionV>
                <wp:extent cx="4344670" cy="10858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1085850"/>
                        </a:xfrm>
                        <a:prstGeom prst="rect">
                          <a:avLst/>
                        </a:prstGeom>
                        <a:noFill/>
                        <a:ln w="6350">
                          <a:noFill/>
                        </a:ln>
                        <a:effectLst/>
                      </wps:spPr>
                      <wps:txbx>
                        <w:txbxContent>
                          <w:p w14:paraId="20E6CA05" w14:textId="66F5216D" w:rsidR="00E6115F" w:rsidRDefault="00631EA6" w:rsidP="00E6115F">
                            <w:pPr>
                              <w:pStyle w:val="Header"/>
                              <w:rPr>
                                <w:b/>
                                <w:color w:val="5083C9"/>
                                <w:sz w:val="20"/>
                                <w:szCs w:val="20"/>
                              </w:rPr>
                            </w:pPr>
                            <w:r w:rsidRPr="000847AD">
                              <w:rPr>
                                <w:color w:val="595959" w:themeColor="text1" w:themeTint="A6"/>
                                <w:sz w:val="20"/>
                                <w:szCs w:val="20"/>
                              </w:rPr>
                              <w:t xml:space="preserve">Provided to you by </w:t>
                            </w:r>
                            <w:r>
                              <w:rPr>
                                <w:b/>
                                <w:color w:val="5083C9"/>
                                <w:sz w:val="20"/>
                                <w:szCs w:val="20"/>
                              </w:rPr>
                              <w:t>The Capital Group</w:t>
                            </w:r>
                          </w:p>
                          <w:p w14:paraId="65103128" w14:textId="393AAE36" w:rsidR="00631EA6" w:rsidRDefault="00631EA6" w:rsidP="00E6115F">
                            <w:pPr>
                              <w:pStyle w:val="Header"/>
                              <w:rPr>
                                <w:b/>
                                <w:color w:val="5083C9"/>
                                <w:sz w:val="20"/>
                                <w:szCs w:val="20"/>
                              </w:rPr>
                            </w:pPr>
                          </w:p>
                          <w:p w14:paraId="1B3A2FED" w14:textId="31E65C74" w:rsidR="00631EA6" w:rsidRDefault="00631EA6" w:rsidP="00631EA6">
                            <w:pPr>
                              <w:pStyle w:val="Header"/>
                              <w:rPr>
                                <w:b/>
                                <w:color w:val="5083C9"/>
                                <w:sz w:val="20"/>
                                <w:szCs w:val="20"/>
                              </w:rPr>
                            </w:pPr>
                            <w:r>
                              <w:rPr>
                                <w:noProof/>
                              </w:rPr>
                              <w:drawing>
                                <wp:inline distT="0" distB="0" distL="0" distR="0" wp14:anchorId="622224AB" wp14:editId="78A01F86">
                                  <wp:extent cx="1431290" cy="49720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1290" cy="497205"/>
                                          </a:xfrm>
                                          <a:prstGeom prst="rect">
                                            <a:avLst/>
                                          </a:prstGeom>
                                          <a:noFill/>
                                          <a:ln>
                                            <a:noFill/>
                                          </a:ln>
                                        </pic:spPr>
                                      </pic:pic>
                                    </a:graphicData>
                                  </a:graphic>
                                </wp:inline>
                              </w:drawing>
                            </w:r>
                          </w:p>
                          <w:p w14:paraId="0BFEA663" w14:textId="77777777" w:rsidR="00631EA6" w:rsidRPr="000847AD" w:rsidRDefault="00631EA6" w:rsidP="00E6115F">
                            <w:pPr>
                              <w:pStyle w:val="Head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09809" id="Text Box 24" o:spid="_x0000_s1031" type="#_x0000_t202" style="position:absolute;left:0;text-align:left;margin-left:-7.5pt;margin-top:470.95pt;width:342.1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k+NgIAAGkEAAAOAAAAZHJzL2Uyb0RvYy54bWysVF1v2jAUfZ+0/2D5fQRooAwRKtaKaVLV&#10;VoKpz8ZxIFLi69mGhP36HTtAWbenaS/mfuV+nHMvs7u2rthBWVeSzvig1+dMaUl5qbcZ/75efppw&#10;5rzQuahIq4wfleN3848fZo2ZqiHtqMqVZUii3bQxGd95b6ZJ4uRO1cL1yCgNZ0G2Fh6q3Sa5FQ2y&#10;11Uy7PfHSUM2N5akcg7Wh87J5zF/USjpn4vCKc+qjKM3H18b3014k/lMTLdWmF0pT22If+iiFqVG&#10;0UuqB+EF29vyj1R1KS05KnxPUp1QUZRSxRkwzaD/bprVThgVZwE4zlxgcv8vrXw6vFhW5hkfppxp&#10;UYOjtWo9+0Itgwn4NMZNEbYyCPQt7OD5bHcwhrHbwtbhFwMx+IH08YJuyCZhTG/SdHwLl4Rv0J+M&#10;JqOIf/L2ubHOf1VUsyBk3IK+iKo4PDqPVhB6DgnVNC3LqooUVpo1GR/fIOVvHnxR6WBRcRlOacJI&#10;XetB8u2mjRCMzmNtKD9iWkvdvjgjlyU6ehTOvwiLBcEUWHr/jKeoCJXpJHG2I/vzb/YQD97g5azB&#10;wmXc/dgLqzirvmkw+nmQpmFDo5KObodQ7LVnc+3R+/qesNMDnJeRUQzxvjqLhaX6FbexCFXhElqi&#10;dsb9Wbz33RngtqRaLGIQdtII/6hXRobUAbeA97p9FdacSPHg84nOqymm77jpYjsOFntPRRmJCzh3&#10;qILFoGCfI5+n2wsHc63HqLd/iPkvAAAA//8DAFBLAwQUAAYACAAAACEAKwKkbOMAAAAMAQAADwAA&#10;AGRycy9kb3ducmV2LnhtbEyPwU7DMBBE70j8g7VI3FrHEY2aEKeqIlVICA4tvXBzYjeJsNchdtvA&#10;17Oc4Ljap5k35WZ2ll3MFAaPEsQyAWaw9XrATsLxbbdYAwtRoVbWo5HwZQJsqtubUhXaX3FvLofY&#10;MQrBUCgJfYxjwXloe+NUWPrRIP1OfnIq0jl1XE/qSuHO8jRJMu7UgNTQq9HUvWk/Dmcn4bnevap9&#10;k7r1t62fXk7b8fP4vpLy/m7ePgKLZo5/MPzqkzpU5NT4M+rArISFWNGWKCF/EDkwIrIsT4E1hAqR&#10;5sCrkv8fUf0AAAD//wMAUEsBAi0AFAAGAAgAAAAhALaDOJL+AAAA4QEAABMAAAAAAAAAAAAAAAAA&#10;AAAAAFtDb250ZW50X1R5cGVzXS54bWxQSwECLQAUAAYACAAAACEAOP0h/9YAAACUAQAACwAAAAAA&#10;AAAAAAAAAAAvAQAAX3JlbHMvLnJlbHNQSwECLQAUAAYACAAAACEA7XbJPjYCAABpBAAADgAAAAAA&#10;AAAAAAAAAAAuAgAAZHJzL2Uyb0RvYy54bWxQSwECLQAUAAYACAAAACEAKwKkbOMAAAAMAQAADwAA&#10;AAAAAAAAAAAAAACQBAAAZHJzL2Rvd25yZXYueG1sUEsFBgAAAAAEAAQA8wAAAKAFAAAAAA==&#10;" filled="f" stroked="f" strokeweight=".5pt">
                <v:textbox>
                  <w:txbxContent>
                    <w:p w14:paraId="20E6CA05" w14:textId="66F5216D" w:rsidR="00E6115F" w:rsidRDefault="00631EA6" w:rsidP="00E6115F">
                      <w:pPr>
                        <w:pStyle w:val="Header"/>
                        <w:rPr>
                          <w:b/>
                          <w:color w:val="5083C9"/>
                          <w:sz w:val="20"/>
                          <w:szCs w:val="20"/>
                        </w:rPr>
                      </w:pPr>
                      <w:r w:rsidRPr="000847AD">
                        <w:rPr>
                          <w:color w:val="595959" w:themeColor="text1" w:themeTint="A6"/>
                          <w:sz w:val="20"/>
                          <w:szCs w:val="20"/>
                        </w:rPr>
                        <w:t xml:space="preserve">Provided to you by </w:t>
                      </w:r>
                      <w:r>
                        <w:rPr>
                          <w:b/>
                          <w:color w:val="5083C9"/>
                          <w:sz w:val="20"/>
                          <w:szCs w:val="20"/>
                        </w:rPr>
                        <w:t>The Capital Group</w:t>
                      </w:r>
                    </w:p>
                    <w:p w14:paraId="65103128" w14:textId="393AAE36" w:rsidR="00631EA6" w:rsidRDefault="00631EA6" w:rsidP="00E6115F">
                      <w:pPr>
                        <w:pStyle w:val="Header"/>
                        <w:rPr>
                          <w:b/>
                          <w:color w:val="5083C9"/>
                          <w:sz w:val="20"/>
                          <w:szCs w:val="20"/>
                        </w:rPr>
                      </w:pPr>
                    </w:p>
                    <w:p w14:paraId="1B3A2FED" w14:textId="31E65C74" w:rsidR="00631EA6" w:rsidRDefault="00631EA6" w:rsidP="00631EA6">
                      <w:pPr>
                        <w:pStyle w:val="Header"/>
                        <w:rPr>
                          <w:b/>
                          <w:color w:val="5083C9"/>
                          <w:sz w:val="20"/>
                          <w:szCs w:val="20"/>
                        </w:rPr>
                      </w:pPr>
                      <w:r>
                        <w:rPr>
                          <w:noProof/>
                        </w:rPr>
                        <w:drawing>
                          <wp:inline distT="0" distB="0" distL="0" distR="0" wp14:anchorId="622224AB" wp14:editId="78A01F86">
                            <wp:extent cx="1431290" cy="49720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1290" cy="497205"/>
                                    </a:xfrm>
                                    <a:prstGeom prst="rect">
                                      <a:avLst/>
                                    </a:prstGeom>
                                    <a:noFill/>
                                    <a:ln>
                                      <a:noFill/>
                                    </a:ln>
                                  </pic:spPr>
                                </pic:pic>
                              </a:graphicData>
                            </a:graphic>
                          </wp:inline>
                        </w:drawing>
                      </w:r>
                    </w:p>
                    <w:p w14:paraId="0BFEA663" w14:textId="77777777" w:rsidR="00631EA6" w:rsidRPr="000847AD" w:rsidRDefault="00631EA6" w:rsidP="00E6115F">
                      <w:pPr>
                        <w:pStyle w:val="Header"/>
                        <w:rPr>
                          <w:sz w:val="20"/>
                          <w:szCs w:val="20"/>
                        </w:rPr>
                      </w:pPr>
                    </w:p>
                  </w:txbxContent>
                </v:textbox>
                <w10:wrap anchorx="margin" anchory="margin"/>
              </v:shape>
            </w:pict>
          </mc:Fallback>
        </mc:AlternateContent>
      </w:r>
      <w:r w:rsidRPr="002E70AE">
        <w:rPr>
          <w:b/>
          <w:i/>
          <w:noProof/>
          <w:color w:val="FF0000"/>
          <w:sz w:val="24"/>
          <w:szCs w:val="24"/>
        </w:rPr>
        <mc:AlternateContent>
          <mc:Choice Requires="wps">
            <w:drawing>
              <wp:anchor distT="0" distB="0" distL="114300" distR="114300" simplePos="0" relativeHeight="251664384" behindDoc="0" locked="0" layoutInCell="1" allowOverlap="1" wp14:anchorId="17220AF8" wp14:editId="100B7F0C">
                <wp:simplePos x="0" y="0"/>
                <wp:positionH relativeFrom="margin">
                  <wp:align>center</wp:align>
                </wp:positionH>
                <wp:positionV relativeFrom="page">
                  <wp:posOffset>7153275</wp:posOffset>
                </wp:positionV>
                <wp:extent cx="4356735" cy="1200150"/>
                <wp:effectExtent l="0" t="0" r="5715"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1200150"/>
                        </a:xfrm>
                        <a:prstGeom prst="rect">
                          <a:avLst/>
                        </a:prstGeom>
                        <a:solidFill>
                          <a:srgbClr val="5083C9">
                            <a:alpha val="10000"/>
                          </a:srgbClr>
                        </a:solidFill>
                        <a:ln w="38100">
                          <a:noFill/>
                          <a:miter lim="800000"/>
                          <a:headEnd/>
                          <a:tailEnd/>
                        </a:ln>
                      </wps:spPr>
                      <wps:txbx>
                        <w:txbxContent>
                          <w:p w14:paraId="0C614F51" w14:textId="77777777" w:rsidR="008C01A9" w:rsidRDefault="00631EA6" w:rsidP="00A95ADA">
                            <w:pPr>
                              <w:pStyle w:val="LR-Heading"/>
                              <w:rPr>
                                <w:color w:val="5083C9"/>
                              </w:rPr>
                            </w:pPr>
                            <w:r w:rsidRPr="008C01A9">
                              <w:rPr>
                                <w:color w:val="5083C9"/>
                              </w:rPr>
                              <w:t>Links and Resources</w:t>
                            </w:r>
                          </w:p>
                          <w:p w14:paraId="0C2C97B1" w14:textId="77777777" w:rsidR="004B243F" w:rsidRDefault="00631EA6" w:rsidP="004B243F">
                            <w:pPr>
                              <w:pStyle w:val="LR-BulletList"/>
                            </w:pPr>
                            <w:hyperlink r:id="rId13" w:history="1">
                              <w:r w:rsidRPr="004B243F">
                                <w:rPr>
                                  <w:rStyle w:val="Hyperlink"/>
                                </w:rPr>
                                <w:t>IRS Notice 2004-50</w:t>
                              </w:r>
                            </w:hyperlink>
                          </w:p>
                          <w:p w14:paraId="25C41CCC" w14:textId="77777777" w:rsidR="004B243F" w:rsidRDefault="00631EA6" w:rsidP="004B243F">
                            <w:pPr>
                              <w:pStyle w:val="LR-BulletList"/>
                            </w:pPr>
                            <w:hyperlink r:id="rId14" w:history="1">
                              <w:r w:rsidRPr="004B243F">
                                <w:rPr>
                                  <w:rStyle w:val="Hyperlink"/>
                                </w:rPr>
                                <w:t>IRS Publication 969</w:t>
                              </w:r>
                            </w:hyperlink>
                            <w:r>
                              <w:t>, Health Savings Accounts and Other Tax-favored Health Plans</w:t>
                            </w:r>
                          </w:p>
                        </w:txbxContent>
                      </wps:txbx>
                      <wps:bodyPr rot="0" vert="horz" wrap="square" lIns="91440" tIns="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7220AF8" id="Text Box 21" o:spid="_x0000_s1032" type="#_x0000_t202" style="position:absolute;left:0;text-align:left;margin-left:0;margin-top:563.25pt;width:343.05pt;height:9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RdLwIAADUEAAAOAAAAZHJzL2Uyb0RvYy54bWysU9tu2zAMfR+wfxD0vtjOpU2NOMWWrsOA&#10;7gK0+wBZlm1hkqhJSuzu60vJSRpsb8P8YFAUdUieQ25uR63IQTgvwVS0mOWUCMOhkaar6I+n+3dr&#10;SnxgpmEKjKjos/D0dvv2zWawpZhDD6oRjiCI8eVgK9qHYMss87wXmvkZWGHwsgWnWcCj67LGsQHR&#10;tcrmeX6VDeAa64AL79F7N13SbcJvW8HDt7b1IhBVUawtpL9L/zr+s+2GlZ1jtpf8WAb7hyo0kwaT&#10;nqHuWGBk7+RfUFpyBx7aMOOgM2hbyUXqAbsp8j+6eeyZFakXJMfbM03+/8Hyr4fvjsimovOCEsM0&#10;avQkxkA+wEjQhfwM1pcY9mgxMIzoR51Tr94+AP/piYFdz0wn3jsHQy9Yg/Wll9nF0wnHR5B6+AIN&#10;5mH7AAlobJ2O5CEdBNFRp+ezNrEWjs7lYnV1vVhRwvGuQOmLVVIvY+XpuXU+fBKgSTQq6lD8BM8O&#10;Dz5gIxh6ConZPCjZ3Eul0sF19U45cmA4KKt8vdjdTG+V7dnkLXL8IiGI46fwyb7EUYYMFV2sMTi9&#10;NxAzpCnTMuCoK6kruo5Qx+GLhH00TQoJTKrJxhzKIHxkMJI20RfGepzEOglTQ/OMlDqYJhs3EY0e&#10;3G9KBpzqivpfe+YEJeqzQVluiuUyrkE6oOEuvXU6LFfXc7xhhiNMRcPJ3IVpbfbWya7HLK8S42wm&#10;Jo57FIf/8pzaeN327QsAAAD//wMAUEsDBBQABgAIAAAAIQAl8cVG3QAAAAoBAAAPAAAAZHJzL2Rv&#10;d25yZXYueG1sTI/BTsMwEETvSPyDtUjcqJNCoirEqRAIbkGi9AOceJtEjdeR7aTp37Oc4Lgzo9k3&#10;5X61o1jQh8GRgnSTgEBqnRmoU3D8fn/YgQhRk9GjI1RwxQD76vam1IVxF/rC5RA7wSUUCq2gj3Eq&#10;pAxtj1aHjZuQ2Ds5b3Xk03fSeH3hcjvKbZLk0uqB+EOvJ3ztsT0fZqvgs5Z1Z47123U65R/zujTL&#10;+ckrdX+3vjyDiLjGvzD84jM6VMzUuJlMEKMCHhJZTbd5BoL9fJenIBqWHtMsA1mV8v+E6gcAAP//&#10;AwBQSwECLQAUAAYACAAAACEAtoM4kv4AAADhAQAAEwAAAAAAAAAAAAAAAAAAAAAAW0NvbnRlbnRf&#10;VHlwZXNdLnhtbFBLAQItABQABgAIAAAAIQA4/SH/1gAAAJQBAAALAAAAAAAAAAAAAAAAAC8BAABf&#10;cmVscy8ucmVsc1BLAQItABQABgAIAAAAIQAEHFRdLwIAADUEAAAOAAAAAAAAAAAAAAAAAC4CAABk&#10;cnMvZTJvRG9jLnhtbFBLAQItABQABgAIAAAAIQAl8cVG3QAAAAoBAAAPAAAAAAAAAAAAAAAAAIkE&#10;AABkcnMvZG93bnJldi54bWxQSwUGAAAAAAQABADzAAAAkwUAAAAA&#10;" fillcolor="#5083c9" stroked="f" strokeweight="3pt">
                <v:fill opacity="6682f"/>
                <v:textbox inset=",0">
                  <w:txbxContent>
                    <w:p w14:paraId="0C614F51" w14:textId="77777777" w:rsidR="008C01A9" w:rsidRDefault="00631EA6" w:rsidP="00A95ADA">
                      <w:pPr>
                        <w:pStyle w:val="LR-Heading"/>
                        <w:rPr>
                          <w:color w:val="5083C9"/>
                        </w:rPr>
                      </w:pPr>
                      <w:r w:rsidRPr="008C01A9">
                        <w:rPr>
                          <w:color w:val="5083C9"/>
                        </w:rPr>
                        <w:t>Links and Resources</w:t>
                      </w:r>
                    </w:p>
                    <w:p w14:paraId="0C2C97B1" w14:textId="77777777" w:rsidR="004B243F" w:rsidRDefault="00631EA6" w:rsidP="004B243F">
                      <w:pPr>
                        <w:pStyle w:val="LR-BulletList"/>
                      </w:pPr>
                      <w:hyperlink r:id="rId15" w:history="1">
                        <w:r w:rsidRPr="004B243F">
                          <w:rPr>
                            <w:rStyle w:val="Hyperlink"/>
                          </w:rPr>
                          <w:t>IRS Notice 2004-50</w:t>
                        </w:r>
                      </w:hyperlink>
                    </w:p>
                    <w:p w14:paraId="25C41CCC" w14:textId="77777777" w:rsidR="004B243F" w:rsidRDefault="00631EA6" w:rsidP="004B243F">
                      <w:pPr>
                        <w:pStyle w:val="LR-BulletList"/>
                      </w:pPr>
                      <w:hyperlink r:id="rId16" w:history="1">
                        <w:r w:rsidRPr="004B243F">
                          <w:rPr>
                            <w:rStyle w:val="Hyperlink"/>
                          </w:rPr>
                          <w:t>IRS Publication 969</w:t>
                        </w:r>
                      </w:hyperlink>
                      <w:r>
                        <w:t>, Health Savings Accounts and Other Tax-favored Health Plans</w:t>
                      </w:r>
                    </w:p>
                  </w:txbxContent>
                </v:textbox>
                <w10:wrap type="topAndBottom" anchorx="margin" anchory="page"/>
              </v:shape>
            </w:pict>
          </mc:Fallback>
        </mc:AlternateContent>
      </w:r>
      <w:r w:rsidR="00FD61EC" w:rsidRPr="002E70AE">
        <w:rPr>
          <w:b/>
          <w:i/>
          <w:noProof/>
          <w:color w:val="FF0000"/>
          <w:sz w:val="24"/>
          <w:szCs w:val="24"/>
        </w:rPr>
        <mc:AlternateContent>
          <mc:Choice Requires="wpg">
            <w:drawing>
              <wp:anchor distT="0" distB="0" distL="114300" distR="114300" simplePos="0" relativeHeight="251662336" behindDoc="1" locked="0" layoutInCell="1" allowOverlap="1" wp14:anchorId="2415B69E" wp14:editId="0C1D74E6">
                <wp:simplePos x="0" y="0"/>
                <wp:positionH relativeFrom="page">
                  <wp:posOffset>0</wp:posOffset>
                </wp:positionH>
                <wp:positionV relativeFrom="page">
                  <wp:posOffset>5549462</wp:posOffset>
                </wp:positionV>
                <wp:extent cx="7771765" cy="2827020"/>
                <wp:effectExtent l="0" t="0" r="635" b="0"/>
                <wp:wrapNone/>
                <wp:docPr id="10" name="Group 10"/>
                <wp:cNvGraphicFramePr/>
                <a:graphic xmlns:a="http://schemas.openxmlformats.org/drawingml/2006/main">
                  <a:graphicData uri="http://schemas.microsoft.com/office/word/2010/wordprocessingGroup">
                    <wpg:wgp>
                      <wpg:cNvGrpSpPr/>
                      <wpg:grpSpPr>
                        <a:xfrm>
                          <a:off x="0" y="0"/>
                          <a:ext cx="7771765" cy="2827020"/>
                          <a:chOff x="0" y="0"/>
                          <a:chExt cx="7771765" cy="2827251"/>
                        </a:xfrm>
                      </wpg:grpSpPr>
                      <wpg:grpSp>
                        <wpg:cNvPr id="8" name="Group 8"/>
                        <wpg:cNvGrpSpPr/>
                        <wpg:grpSpPr>
                          <a:xfrm>
                            <a:off x="0" y="0"/>
                            <a:ext cx="7771765" cy="957580"/>
                            <a:chOff x="0" y="0"/>
                            <a:chExt cx="7771765" cy="957580"/>
                          </a:xfrm>
                        </wpg:grpSpPr>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12"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3B070A6C" w14:textId="77777777" w:rsidR="00677DD4" w:rsidRPr="00B27C10" w:rsidRDefault="00631EA6" w:rsidP="00677DD4">
                                <w:pPr>
                                  <w:pStyle w:val="SubHeader"/>
                                  <w:rPr>
                                    <w:color w:val="5083C9"/>
                                    <w:sz w:val="32"/>
                                    <w:szCs w:val="32"/>
                                  </w:rPr>
                                </w:pPr>
                                <w:r>
                                  <w:rPr>
                                    <w:color w:val="5083C9"/>
                                    <w:sz w:val="32"/>
                                    <w:szCs w:val="32"/>
                                  </w:rPr>
                                  <w:t>Disqualifying Coverage</w:t>
                                </w:r>
                              </w:p>
                            </w:txbxContent>
                          </wps:txbx>
                          <wps:bodyPr rot="0" vert="horz" wrap="square" lIns="91440" tIns="45720" rIns="91440" bIns="45720" anchor="t" anchorCtr="0"/>
                        </wps:wsp>
                      </wpg:grpSp>
                      <wps:wsp>
                        <wps:cNvPr id="14" name="Text Box 2"/>
                        <wps:cNvSpPr txBox="1">
                          <a:spLocks noChangeArrowheads="1"/>
                        </wps:cNvSpPr>
                        <wps:spPr bwMode="auto">
                          <a:xfrm>
                            <a:off x="5029200" y="353291"/>
                            <a:ext cx="2413000" cy="2473960"/>
                          </a:xfrm>
                          <a:prstGeom prst="rect">
                            <a:avLst/>
                          </a:prstGeom>
                          <a:noFill/>
                          <a:ln w="9525">
                            <a:noFill/>
                            <a:miter lim="800000"/>
                            <a:headEnd/>
                            <a:tailEnd/>
                          </a:ln>
                        </wps:spPr>
                        <wps:txbx>
                          <w:txbxContent>
                            <w:p w14:paraId="435F5AA5" w14:textId="77777777" w:rsidR="00677DD4" w:rsidRDefault="00631EA6" w:rsidP="001B0FFB">
                              <w:pPr>
                                <w:pStyle w:val="Bullet"/>
                                <w:spacing w:after="60"/>
                                <w:ind w:left="270"/>
                                <w:jc w:val="left"/>
                              </w:pPr>
                              <w:r>
                                <w:t xml:space="preserve">As a </w:t>
                              </w:r>
                              <w:r>
                                <w:t>general rule, telemedicine programs that provide free or reduced-cost medical benefits before the HDHP deductible is satisfied are disqualifying coverage.</w:t>
                              </w:r>
                            </w:p>
                            <w:p w14:paraId="3C254C3A" w14:textId="77777777" w:rsidR="001B0FFB" w:rsidRDefault="00631EA6" w:rsidP="001B0FFB">
                              <w:pPr>
                                <w:pStyle w:val="Bullet"/>
                                <w:spacing w:after="60"/>
                                <w:ind w:left="270"/>
                                <w:jc w:val="left"/>
                              </w:pPr>
                              <w:r>
                                <w:t xml:space="preserve">The CARES Act changes these rules for plan years beginning before Jan. 1, 2022. </w:t>
                              </w:r>
                            </w:p>
                            <w:p w14:paraId="7DEA1034" w14:textId="77777777" w:rsidR="001B0FFB" w:rsidRDefault="00631EA6" w:rsidP="001B0FFB">
                              <w:pPr>
                                <w:pStyle w:val="Bullet"/>
                                <w:spacing w:after="60"/>
                                <w:ind w:left="270"/>
                                <w:jc w:val="left"/>
                              </w:pPr>
                              <w:r>
                                <w:t xml:space="preserve">Effective March 27, </w:t>
                              </w:r>
                              <w:r>
                                <w:t xml:space="preserve">2020, the CARES Act allows HDHPs to cover telehealth services without a deductible. </w:t>
                              </w:r>
                            </w:p>
                          </w:txbxContent>
                        </wps:txbx>
                        <wps:bodyPr rot="0" vert="horz" wrap="square" lIns="91440" tIns="45720" rIns="91440" bIns="45720" anchor="t" anchorCtr="0"/>
                      </wps:wsp>
                    </wpg:wgp>
                  </a:graphicData>
                </a:graphic>
              </wp:anchor>
            </w:drawing>
          </mc:Choice>
          <mc:Fallback>
            <w:pict>
              <v:group w14:anchorId="2415B69E" id="Group 10" o:spid="_x0000_s1033" style="position:absolute;left:0;text-align:left;margin-left:0;margin-top:436.95pt;width:611.95pt;height:222.6pt;z-index:-251654144;mso-position-horizontal-relative:page;mso-position-vertical-relative:page" coordsize="77717,28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oFPeQMAAKsKAAAOAAAAZHJzL2Uyb0RvYy54bWzMVmFv2zYQ/T6g/4Hg&#10;90a2bFm2EKVYmzYo0G3B2v0AmqIsohLJkXTk9NfvkZIdx26wNUC7fojDE8m79+7enXT5ate15E5Y&#10;J7Uq6fRiQolQXFdSbUr616d3L5eUOM9UxVqtREnvhaOvrl78ctmbQqS60W0lLIET5YrelLTx3hRJ&#10;4ngjOuYutBEKm7W2HfMw7SapLOvhvWuTdDJZJL22lbGaC+fw9HrYpFfRf10L7v+oayc8aUsKbD7+&#10;2vi7Dr/J1SUrNpaZRvIRBnsGio5JhaAHV9fMM7K18sxVJ7nVTtf+gusu0XUtuYgcwGY6OWFzY/XW&#10;RC6bot+YQ5qQ2pM8Pdst//3u1hJZoXZIj2IdahTDEthITm82Bc7cWPPR3NrxwWawAt9dbbvwH0zI&#10;Lqb1/pBWsfOE42Ge59N8kVHCsZcu03ySjonnDapzdo83b5+6mWbTgCrZB04CvgOcg3HAPXKDCI+p&#10;Lb8Ls1WWZ8vnEHu4+AQvI3mBv7H+WJ3V/9/7BLf81go6Oun+k4+O2c9b8xJSNczLtWylv49tB1EG&#10;UOruVvJbOxhHUpru843tEJVMY9nClXBquMMCpw+af3ZE6TcNUxvxqzPoWGgxFvnx8SSYjwKuW2ne&#10;ybYN+gvrkRq6+6Q7vpKdofOuNd92QvlhlFjRgqVWrpHGUWIL0a0FOsO+ryIgVjhvhedNCFgj8J8A&#10;O6jxsBFRPgALmB0a58lWmaX5YjGK5qv9skhXq6FdDuJA4qzzN0J3JCwAEDhQEVawuw9uRLQ/gmZ5&#10;ABGXMEN/YN66fcpgnSXtm0bKx4YZAQjB7ZEO0r0OPgVur/WOpEPrxVNhohC/w+NQ8YDfmRM9WKv7&#10;RrAK8AZNjAHC1SFayC5Z97/pCpOLbb2Ojk7GUjZJp6E3yflwSufT2WSCrTCcZukqw6A6njDfmGxW&#10;KB00CResaBXpS7rK0iyCOtrppMdrr5VdSZeIjvjxQqD6VlVx7ZlshzUK3yrUMXAPdAfifrfexcE9&#10;26d0rat7JMNqSAKE8FbGotH2CyU93nAldX9vWRgB7XuFhK6m8zmO+WjMsxwqI/Z4Z328wxSHq5J6&#10;SoblGx9foyFXARjEFFfjOP5RCpv/PApDmyKDQUUZdDROjH1PP5JZOs9nq6Hrn9vU/4PO5j+ZzvBF&#10;BMU9+uQ6tqMaH74xr/4BAAD//wMAUEsDBAoAAAAAAAAAIQDYcpYEgQQAAIEEAAAUAAAAZHJzL21l&#10;ZGlhL2ltYWdlMS5wbmeJUE5HDQoaCgAAAA1JSERSAAAGpQAAAIoIAgAAAKwG1y0AAAAJcEhZcwAA&#10;FiUAABYlAUlSJPAAAAQzSURBVHic7dyxCUJBFEXBVey/AxsxsAjBWAwVA0EUBeFbh2dnSng3O7C7&#10;WpZlAAAA/L/T5bXdnQ0JwOQ2sx8AAACoeL6/x/PDnABMbj37AQAAAAAgRO8DAAAAgA7/9wEAABHX&#10;+2d/uFkTgMnpfQAAAADQ4T0vAAAAAHTofQAAAADQofcBAAAAQIfeBwAAAAAdeh8AAAAAdOh9AAAA&#10;ANCh9wEAAABAh94HAAAAAB16HwAAAAB06H0AAAAA0KH3AQAAAECH3gcAAAAAHXofAAAAAHTofQAA&#10;AADQofcBAAAAQIfeBwAAAAAdeh8AAAAAdOh9AAAAANCh9wEAAABAh94HAAAAAB16HwAAAAB06H0A&#10;AAAA0KH3AQAAAECH3gcAAAAAHXofAAAAAHTofQAAAADQofcBAAAAQIfeBwAAAAAdeh8AAAAAdOh9&#10;AAAAANCh9wEAAABAh94HAAAAAB16HwAAAAB06H0AAAAA0KH3AQAAAECH3gcAAAAAHXofAAAAAHTo&#10;fQAAAADQofcBAAAAQIfeBwAAAAAdeh8AAAAAdOh9AAAAANCh9wEAAABAh94HAAAAAB16HwAAAAB0&#10;6H0AAAAA0KH3AQAAAECH3gcAAAAAHXofAAAAAHTofQAAAADQofcBAAAAQIfeBwAAAAAdeh8AAAAA&#10;dOh9AAAAANCh9wEAAABAh94HAAAAAB16HwAAAAB06H0AAAAA0KH3AQAAAECH3gcAAAAAHXofAAAA&#10;AHTofQAAAADQofcBAAAAQIfeBwAAAAAdeh8AAAAAdOh9AAAAANCh9wEAAABAh94HAAAAAB16HwAA&#10;AAB06H0AAAAA0KH3AQAAAECH3gcAAAAAHXofAAAAAHTofQAAAADQofcBAAAAQIfeBwAAAAAdeh8A&#10;AAAAdOh9AAAAANCh9wEAAABAh94HAAAAAB16HwAAAAB06H0AAAAA0KH3AQAAAECH3gcAAAAAHXof&#10;AAAAAHTofQAAAADQofcBAAAAQIfeBwAAAAAdeh8AAAAAdOh9AAAAANCh9wEAAABAh94HAAAAAB16&#10;HwAAAAB06H0AAAAA0KH3AQAAAECH3gcAAAAAHXofAAAAAHTofQAAAADQofcBAAAAQIfeBwAAAAAd&#10;eh8AAAAAdOh9AAAAANCh9wEAAABAh94HAAAAAB16HwAAAAB06H0AAAAA0KH3AQAAAECH3gcAAAAA&#10;HXofAAAAAHTofQAAAADQofcBAAAAQIfeBwAAAAAdeh8AAAAAdOh9AAAAANCh9wEAAABAh94HAAAA&#10;AB16HwAAAAB06H0AAAAA0KH3AQAAAECH3gcAAAAAHXofAAAAAHTofQAAAADQofcBAAAAQIfeBwAA&#10;AAAdeh8AAAAAdOh9AAAAANCh9wEAAABAh94HAAAAAB16HwAAAAB06H0AAAAA0KH3AQAAAECH3gcA&#10;AAAAEWOMH2bcGeK+YnEFAAAAAElFTkSuQmCCUEsDBBQABgAIAAAAIQB3LKhi3wAAAAoBAAAPAAAA&#10;ZHJzL2Rvd25yZXYueG1sTI9PS8NAEMXvgt9hGcGb3fxBbWM2pRT1VARbQbxNs9MkNDsbstsk/fZu&#10;Tnp7w3u8+b18PZlWDNS7xrKCeBGBIC6tbrhS8HV4e1iCcB5ZY2uZFFzJwbq4vckx03bkTxr2vhKh&#10;hF2GCmrvu0xKV9Zk0C1sRxy8k+0N+nD2ldQ9jqHctDKJoidpsOHwocaOtjWV5/3FKHgfcdyk8euw&#10;O5+215/D48f3Lial7u+mzQsIT5P/C8OMH9ChCExHe2HtRKsgDPEKls/pCsRsJ8msjkGl8SoGWeTy&#10;/4T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v2gU95AwAA&#10;qwoAAA4AAAAAAAAAAAAAAAAAOgIAAGRycy9lMm9Eb2MueG1sUEsBAi0ACgAAAAAAAAAhANhylgSB&#10;BAAAgQQAABQAAAAAAAAAAAAAAAAA3wUAAGRycy9tZWRpYS9pbWFnZTEucG5nUEsBAi0AFAAGAAgA&#10;AAAhAHcsqGLfAAAACgEAAA8AAAAAAAAAAAAAAAAAkgoAAGRycy9kb3ducmV2LnhtbFBLAQItABQA&#10;BgAIAAAAIQCqJg6+vAAAACEBAAAZAAAAAAAAAAAAAAAAAJ4LAABkcnMvX3JlbHMvZTJvRG9jLnht&#10;bC5yZWxzUEsFBgAAAAAGAAYAfAEAAJEMAAAAAA==&#10;">
                <v:group id="Group 8" o:spid="_x0000_s1034" style="position:absolute;width:77717;height:9575" coordsize="7771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11" o:spid="_x0000_s1035" type="#_x0000_t75" style="position:absolute;top:3276;width:7771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sfwQAAANsAAAAPAAAAZHJzL2Rvd25yZXYueG1sRE9LawIx&#10;EL4L/ocwQm+a1UORrVFUKJS2iG7rfbqZfeBmsk3iuv57Iwje5uN7zmLVm0Z05HxtWcF0koAgzq2u&#10;uVTw+/M+noPwAVljY5kUXMnDajkcLDDV9sIH6rJQihjCPkUFVQhtKqXPKzLoJ7YljlxhncEQoSul&#10;dniJ4aaRsyR5lQZrjg0VtrStKD9lZ6Ngl332xbH4S46n9bnbf2/c1//MKfUy6tdvIAL14Sl+uD90&#10;nD+F+y/xALm8AQAA//8DAFBLAQItABQABgAIAAAAIQDb4fbL7gAAAIUBAAATAAAAAAAAAAAAAAAA&#10;AAAAAABbQ29udGVudF9UeXBlc10ueG1sUEsBAi0AFAAGAAgAAAAhAFr0LFu/AAAAFQEAAAsAAAAA&#10;AAAAAAAAAAAAHwEAAF9yZWxzLy5yZWxzUEsBAi0AFAAGAAgAAAAhAPYpKx/BAAAA2wAAAA8AAAAA&#10;AAAAAAAAAAAABwIAAGRycy9kb3ducmV2LnhtbFBLBQYAAAAAAwADALcAAAD1AgAAAAA=&#10;">
                    <v:imagedata r:id="rId8" o:title=""/>
                  </v:shape>
                  <v:shape id="Text Box 2" o:spid="_x0000_s1036" type="#_x0000_t202" style="position:absolute;left:50215;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B070A6C" w14:textId="77777777" w:rsidR="00677DD4" w:rsidRPr="00B27C10" w:rsidRDefault="00631EA6" w:rsidP="00677DD4">
                          <w:pPr>
                            <w:pStyle w:val="SubHeader"/>
                            <w:rPr>
                              <w:color w:val="5083C9"/>
                              <w:sz w:val="32"/>
                              <w:szCs w:val="32"/>
                            </w:rPr>
                          </w:pPr>
                          <w:r>
                            <w:rPr>
                              <w:color w:val="5083C9"/>
                              <w:sz w:val="32"/>
                              <w:szCs w:val="32"/>
                            </w:rPr>
                            <w:t>Disqualifying Coverage</w:t>
                          </w:r>
                        </w:p>
                      </w:txbxContent>
                    </v:textbox>
                  </v:shape>
                </v:group>
                <v:shape id="Text Box 2" o:spid="_x0000_s1037" type="#_x0000_t202" style="position:absolute;left:50292;top:3532;width:24130;height:24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35F5AA5" w14:textId="77777777" w:rsidR="00677DD4" w:rsidRDefault="00631EA6" w:rsidP="001B0FFB">
                        <w:pPr>
                          <w:pStyle w:val="Bullet"/>
                          <w:spacing w:after="60"/>
                          <w:ind w:left="270"/>
                          <w:jc w:val="left"/>
                        </w:pPr>
                        <w:r>
                          <w:t xml:space="preserve">As a </w:t>
                        </w:r>
                        <w:r>
                          <w:t>general rule, telemedicine programs that provide free or reduced-cost medical benefits before the HDHP deductible is satisfied are disqualifying coverage.</w:t>
                        </w:r>
                      </w:p>
                      <w:p w14:paraId="3C254C3A" w14:textId="77777777" w:rsidR="001B0FFB" w:rsidRDefault="00631EA6" w:rsidP="001B0FFB">
                        <w:pPr>
                          <w:pStyle w:val="Bullet"/>
                          <w:spacing w:after="60"/>
                          <w:ind w:left="270"/>
                          <w:jc w:val="left"/>
                        </w:pPr>
                        <w:r>
                          <w:t xml:space="preserve">The CARES Act changes these rules for plan years beginning before Jan. 1, 2022. </w:t>
                        </w:r>
                      </w:p>
                      <w:p w14:paraId="7DEA1034" w14:textId="77777777" w:rsidR="001B0FFB" w:rsidRDefault="00631EA6" w:rsidP="001B0FFB">
                        <w:pPr>
                          <w:pStyle w:val="Bullet"/>
                          <w:spacing w:after="60"/>
                          <w:ind w:left="270"/>
                          <w:jc w:val="left"/>
                        </w:pPr>
                        <w:r>
                          <w:t xml:space="preserve">Effective March 27, </w:t>
                        </w:r>
                        <w:r>
                          <w:t xml:space="preserve">2020, the CARES Act allows HDHPs to cover telehealth services without a deductible. </w:t>
                        </w:r>
                      </w:p>
                    </w:txbxContent>
                  </v:textbox>
                </v:shape>
                <w10:wrap anchorx="page" anchory="page"/>
              </v:group>
            </w:pict>
          </mc:Fallback>
        </mc:AlternateContent>
      </w:r>
      <w:r w:rsidRPr="002E70AE">
        <w:rPr>
          <w:b/>
          <w:i/>
          <w:noProof/>
          <w:color w:val="FF0000"/>
          <w:sz w:val="24"/>
          <w:szCs w:val="24"/>
        </w:rPr>
        <w:t>UPDATE:</w:t>
      </w:r>
      <w:r>
        <w:rPr>
          <w:noProof/>
        </w:rPr>
        <w:t xml:space="preserve"> T</w:t>
      </w:r>
      <w:r w:rsidRPr="004B243F">
        <w:rPr>
          <w:noProof/>
        </w:rPr>
        <w:t xml:space="preserve">he </w:t>
      </w:r>
      <w:hyperlink r:id="rId17" w:history="1">
        <w:r w:rsidRPr="004B243F">
          <w:rPr>
            <w:rStyle w:val="Hyperlink"/>
            <w:noProof/>
          </w:rPr>
          <w:t>Coronavirus Aid, Relief</w:t>
        </w:r>
        <w:r w:rsidRPr="004B243F">
          <w:rPr>
            <w:rStyle w:val="Hyperlink"/>
            <w:noProof/>
          </w:rPr>
          <w:t xml:space="preserve"> and Economic Security Act</w:t>
        </w:r>
      </w:hyperlink>
      <w:r w:rsidRPr="004B243F">
        <w:rPr>
          <w:noProof/>
        </w:rPr>
        <w:t xml:space="preserve"> (CARES Act) </w:t>
      </w:r>
      <w:r w:rsidRPr="004B243F">
        <w:rPr>
          <w:b/>
          <w:noProof/>
        </w:rPr>
        <w:t>allows HDHPs to cover telehealth and other remote care services before the plan’s deductible is met</w:t>
      </w:r>
      <w:r>
        <w:rPr>
          <w:noProof/>
        </w:rPr>
        <w:t xml:space="preserve">, without affecting the HDHP’s compatibility with HSAs. This rule is effective </w:t>
      </w:r>
      <w:r w:rsidR="008E01AA">
        <w:rPr>
          <w:noProof/>
        </w:rPr>
        <w:t>Jan. 1, 2020,</w:t>
      </w:r>
      <w:r>
        <w:rPr>
          <w:noProof/>
        </w:rPr>
        <w:t xml:space="preserve"> and applies for plan years beginning on or before Dec. 31, 2021.   </w:t>
      </w:r>
    </w:p>
    <w:p w14:paraId="7D392197" w14:textId="77777777" w:rsidR="001B0FFB" w:rsidRDefault="00631EA6" w:rsidP="00C84C66">
      <w:pPr>
        <w:pStyle w:val="SubHeader"/>
      </w:pPr>
      <w:r w:rsidRPr="008A7E71">
        <w:lastRenderedPageBreak/>
        <w:t>Te</w:t>
      </w:r>
      <w:r>
        <w:t>lemedicine Benefits</w:t>
      </w:r>
    </w:p>
    <w:p w14:paraId="13CAA780" w14:textId="77777777" w:rsidR="001B0FFB" w:rsidRDefault="00631EA6" w:rsidP="001B0FFB">
      <w:pPr>
        <w:pStyle w:val="BodyText"/>
      </w:pPr>
      <w:r>
        <w:t>Telemedicine is a way for health care professionals to provide patient care though technology (such as a web-based communication or phone/video chat) rather than in-person consultations. For example, through telemedicine, a patient may be able to communica</w:t>
      </w:r>
      <w:r>
        <w:t xml:space="preserve">te in real-time with his or her doctor from home via phone, video chat, email or text for the purpose of medical evaluation, diagnosis and treatment. </w:t>
      </w:r>
    </w:p>
    <w:p w14:paraId="6088A6E6" w14:textId="77777777" w:rsidR="001B0FFB" w:rsidRDefault="00631EA6" w:rsidP="001B0FFB">
      <w:pPr>
        <w:pStyle w:val="BodyText"/>
      </w:pPr>
      <w:r>
        <w:t xml:space="preserve">While telemedicine is not a new type of employee benefit, it is growing in popularity with employers and </w:t>
      </w:r>
      <w:r>
        <w:t>employees. Telemedicine can provide easier access to health care services for employees who live in rural areas and employees who travel frequently for work. By accessing health care professionals through telemedicine, employees can avoid having to take ti</w:t>
      </w:r>
      <w:r>
        <w:t>me off from work for in-person office visits. Also, because telemedicine consultations are generally less expensive than in-person visits, incorporating a telemedicine benefit may help control health coverage costs. In some states, health insurance policie</w:t>
      </w:r>
      <w:r>
        <w:t xml:space="preserve">s are required to cover at least some telemedicine services. </w:t>
      </w:r>
    </w:p>
    <w:p w14:paraId="7577B7BE" w14:textId="77777777" w:rsidR="001B0FFB" w:rsidRDefault="00631EA6" w:rsidP="002E70AE">
      <w:pPr>
        <w:pStyle w:val="BodyText"/>
        <w:spacing w:after="240"/>
      </w:pPr>
      <w:r>
        <w:t xml:space="preserve">Before implementing a telemedicine benefit, employers should consider the compliance issues associated with this type of benefit. Employers that sponsor HDHPs will also want to consider whether </w:t>
      </w:r>
      <w:r>
        <w:t xml:space="preserve">the telemedicine coverage could disqualify employees from making HSA contributions. </w:t>
      </w:r>
    </w:p>
    <w:tbl>
      <w:tblPr>
        <w:tblStyle w:val="TableGrid"/>
        <w:tblW w:w="0" w:type="auto"/>
        <w:tblInd w:w="17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579"/>
      </w:tblGrid>
      <w:tr w:rsidR="00FA26DC" w14:paraId="622DF257" w14:textId="77777777" w:rsidTr="002E70AE">
        <w:tc>
          <w:tcPr>
            <w:tcW w:w="10615" w:type="dxa"/>
            <w:vAlign w:val="center"/>
          </w:tcPr>
          <w:p w14:paraId="0CD0ED56" w14:textId="77777777" w:rsidR="00FB3448" w:rsidRPr="00FB3448" w:rsidRDefault="00631EA6" w:rsidP="00FB3448">
            <w:pPr>
              <w:pStyle w:val="BodyText"/>
              <w:spacing w:before="160"/>
              <w:jc w:val="center"/>
              <w:rPr>
                <w:b/>
              </w:rPr>
            </w:pPr>
            <w:r w:rsidRPr="00FB3448">
              <w:rPr>
                <w:b/>
              </w:rPr>
              <w:t>Current Status</w:t>
            </w:r>
            <w:r>
              <w:rPr>
                <w:b/>
              </w:rPr>
              <w:t xml:space="preserve"> of Rules</w:t>
            </w:r>
            <w:r w:rsidRPr="00FB3448">
              <w:rPr>
                <w:b/>
              </w:rPr>
              <w:t xml:space="preserve"> Due to CARES Act:</w:t>
            </w:r>
          </w:p>
          <w:p w14:paraId="462DB2B7" w14:textId="77777777" w:rsidR="00FB3448" w:rsidRDefault="00631EA6" w:rsidP="00FD2D1B">
            <w:pPr>
              <w:pStyle w:val="BodyText"/>
              <w:spacing w:before="160"/>
              <w:jc w:val="center"/>
            </w:pPr>
            <w:r w:rsidRPr="00FB3448">
              <w:t xml:space="preserve">Effective </w:t>
            </w:r>
            <w:r w:rsidR="008E01AA">
              <w:t>Jan. 1, 2020</w:t>
            </w:r>
            <w:r w:rsidRPr="00FB3448">
              <w:t xml:space="preserve">, the CARES Act </w:t>
            </w:r>
            <w:r w:rsidRPr="00FB3448">
              <w:rPr>
                <w:b/>
              </w:rPr>
              <w:t>allows HDHPs to provide benefits for telehealth or other remote care services before plan d</w:t>
            </w:r>
            <w:r w:rsidRPr="00FB3448">
              <w:rPr>
                <w:b/>
              </w:rPr>
              <w:t>eductibles have been met</w:t>
            </w:r>
            <w:r w:rsidRPr="00FB3448">
              <w:t>. This rule is applicable for plan years beginning before Jan. 1, 2022.</w:t>
            </w:r>
            <w:r>
              <w:t xml:space="preserve"> This means that HDHPs can provide coverage for telehealth services before the required minimum deductible has been reached without jeopardizing plan participant</w:t>
            </w:r>
            <w:r>
              <w:t>s’ eligibility for HSA contributions.</w:t>
            </w:r>
            <w:r w:rsidR="00FD2D1B">
              <w:t xml:space="preserve"> It also means that an otherwise eligible individual with coverage under an HDHP may also receive coverage for telehealth and other remote care services outside the HDHP and before satisfying the deductible of the HDHP and still contribute to an HSA. </w:t>
            </w:r>
            <w:r>
              <w:t xml:space="preserve">This Compliance Overview discusses the rules that were in place before </w:t>
            </w:r>
            <w:r w:rsidR="008E01AA">
              <w:t>Jan. 1, 2020</w:t>
            </w:r>
            <w:r>
              <w:t xml:space="preserve">, and that will apply </w:t>
            </w:r>
            <w:r w:rsidR="002E70AE">
              <w:t xml:space="preserve">again </w:t>
            </w:r>
            <w:r>
              <w:t>for plan years beginning on or after Jan. 1, 2022 (unless the CARES Act’s provision for telehealth services is ex</w:t>
            </w:r>
            <w:r>
              <w:t xml:space="preserve">tended). </w:t>
            </w:r>
          </w:p>
        </w:tc>
      </w:tr>
    </w:tbl>
    <w:p w14:paraId="17B6E7F9" w14:textId="77777777" w:rsidR="00FB3448" w:rsidRDefault="00FB3448" w:rsidP="001B0FFB">
      <w:pPr>
        <w:pStyle w:val="BodyText"/>
      </w:pPr>
    </w:p>
    <w:p w14:paraId="5EEDF24E" w14:textId="77777777" w:rsidR="001B0FFB" w:rsidRDefault="00631EA6" w:rsidP="001B0FFB">
      <w:pPr>
        <w:pStyle w:val="SubHeader"/>
      </w:pPr>
      <w:r>
        <w:t>HSA Eligibility</w:t>
      </w:r>
    </w:p>
    <w:p w14:paraId="697572AD" w14:textId="77777777" w:rsidR="001B0FFB" w:rsidRDefault="00631EA6" w:rsidP="001B0FFB">
      <w:pPr>
        <w:pStyle w:val="BodyText"/>
      </w:pPr>
      <w:r>
        <w:t>An HSA is a tax-favored trust or account that can be contributed to by, or on behalf of, an eligible individual for the purpose of paying qualified medical expenses. HSAs provide a triple tax advantage. Contributions, investment</w:t>
      </w:r>
      <w:r>
        <w:t xml:space="preserve"> earnings and amounts distributed for qualified medical expenses are all exempt from federal income tax, FICA tax and most state income taxes. Due to an HSA’s potential tax savings, federal tax law imposes strict eligibility requirements for HSA contributi</w:t>
      </w:r>
      <w:r>
        <w:t xml:space="preserve">ons. </w:t>
      </w:r>
    </w:p>
    <w:p w14:paraId="59BD369B" w14:textId="77777777" w:rsidR="002E70AE" w:rsidRDefault="00631EA6" w:rsidP="001B0FFB">
      <w:pPr>
        <w:pStyle w:val="BodyText"/>
      </w:pPr>
      <w:r>
        <w:t>Only an eligible individual can establish an HSA and make HSA contributions (or have them made on his or her behalf). An individual’s eligibility for HSA contributions is generally determined monthly as of the first day of the month. The HSA contribu</w:t>
      </w:r>
      <w:r>
        <w:t>tion limit is calculated each month, and a contribution can only be made for months in which the individual meets all of the HSA eligibility requirements. To be HSA-eligible for a month, an individual must:</w:t>
      </w:r>
    </w:p>
    <w:p w14:paraId="4AE4B764" w14:textId="77777777" w:rsidR="002E70AE" w:rsidRDefault="00631EA6">
      <w:pPr>
        <w:rPr>
          <w:rFonts w:ascii="Calibri" w:eastAsia="Times New Roman" w:hAnsi="Calibri" w:cs="Arial"/>
          <w:color w:val="595959"/>
          <w:szCs w:val="20"/>
        </w:rPr>
      </w:pPr>
      <w:r>
        <w:br w:type="page"/>
      </w:r>
    </w:p>
    <w:tbl>
      <w:tblPr>
        <w:tblW w:w="0" w:type="auto"/>
        <w:tblInd w:w="76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71"/>
        <w:gridCol w:w="7920"/>
      </w:tblGrid>
      <w:tr w:rsidR="00FA26DC" w14:paraId="4A856F0E" w14:textId="77777777" w:rsidTr="002E70AE">
        <w:tc>
          <w:tcPr>
            <w:tcW w:w="9191" w:type="dxa"/>
            <w:gridSpan w:val="2"/>
            <w:shd w:val="clear" w:color="auto" w:fill="808080" w:themeFill="background1" w:themeFillShade="80"/>
            <w:vAlign w:val="center"/>
          </w:tcPr>
          <w:p w14:paraId="435C646D" w14:textId="77777777" w:rsidR="002E70AE" w:rsidRPr="002E70AE" w:rsidRDefault="00631EA6" w:rsidP="002E70AE">
            <w:pPr>
              <w:pStyle w:val="Body"/>
              <w:spacing w:before="60" w:after="60"/>
              <w:jc w:val="center"/>
              <w:rPr>
                <w:b/>
              </w:rPr>
            </w:pPr>
            <w:r w:rsidRPr="002E70AE">
              <w:rPr>
                <w:b/>
                <w:color w:val="FFFFFF" w:themeColor="background1"/>
              </w:rPr>
              <w:lastRenderedPageBreak/>
              <w:t>HSA Eligibility Requirements</w:t>
            </w:r>
          </w:p>
        </w:tc>
      </w:tr>
      <w:tr w:rsidR="00FA26DC" w14:paraId="2DB315B6" w14:textId="77777777" w:rsidTr="002E70AE">
        <w:tc>
          <w:tcPr>
            <w:tcW w:w="1271" w:type="dxa"/>
            <w:shd w:val="clear" w:color="auto" w:fill="5083C9"/>
            <w:vAlign w:val="center"/>
          </w:tcPr>
          <w:p w14:paraId="7C025488" w14:textId="77777777" w:rsidR="001B0FFB" w:rsidRPr="00374181" w:rsidRDefault="00631EA6" w:rsidP="008E28A2">
            <w:pPr>
              <w:pStyle w:val="Tableheading"/>
              <w:spacing w:before="60" w:after="60"/>
              <w:rPr>
                <w:sz w:val="32"/>
              </w:rPr>
            </w:pPr>
            <w:r w:rsidRPr="00374181">
              <w:rPr>
                <w:sz w:val="32"/>
              </w:rPr>
              <w:t>1</w:t>
            </w:r>
          </w:p>
        </w:tc>
        <w:tc>
          <w:tcPr>
            <w:tcW w:w="7920" w:type="dxa"/>
            <w:shd w:val="clear" w:color="auto" w:fill="E8EFF8"/>
          </w:tcPr>
          <w:p w14:paraId="0071ED8E" w14:textId="77777777" w:rsidR="001B0FFB" w:rsidRPr="005332E3" w:rsidRDefault="00631EA6" w:rsidP="008E28A2">
            <w:pPr>
              <w:pStyle w:val="Body"/>
              <w:spacing w:before="60" w:after="60"/>
              <w:rPr>
                <w:sz w:val="22"/>
                <w:szCs w:val="22"/>
              </w:rPr>
            </w:pPr>
            <w:r w:rsidRPr="005332E3">
              <w:rPr>
                <w:sz w:val="22"/>
                <w:szCs w:val="22"/>
              </w:rPr>
              <w:t xml:space="preserve">Be covered by an HDHP on the first day of the month; </w:t>
            </w:r>
          </w:p>
        </w:tc>
      </w:tr>
      <w:tr w:rsidR="00FA26DC" w14:paraId="35D1408F" w14:textId="77777777" w:rsidTr="002E70AE">
        <w:tc>
          <w:tcPr>
            <w:tcW w:w="1271" w:type="dxa"/>
            <w:shd w:val="clear" w:color="auto" w:fill="5083C9"/>
            <w:vAlign w:val="center"/>
          </w:tcPr>
          <w:p w14:paraId="4A54B8A4" w14:textId="77777777" w:rsidR="001B0FFB" w:rsidRPr="00374181" w:rsidRDefault="00631EA6" w:rsidP="008E28A2">
            <w:pPr>
              <w:pStyle w:val="Tableheading"/>
              <w:spacing w:before="60" w:after="60"/>
              <w:rPr>
                <w:sz w:val="32"/>
              </w:rPr>
            </w:pPr>
            <w:r w:rsidRPr="00374181">
              <w:rPr>
                <w:sz w:val="32"/>
              </w:rPr>
              <w:t>2</w:t>
            </w:r>
          </w:p>
        </w:tc>
        <w:tc>
          <w:tcPr>
            <w:tcW w:w="7920" w:type="dxa"/>
            <w:shd w:val="clear" w:color="auto" w:fill="E8EFF8"/>
          </w:tcPr>
          <w:p w14:paraId="2F3C4289" w14:textId="77777777" w:rsidR="001B0FFB" w:rsidRPr="005332E3" w:rsidRDefault="00631EA6" w:rsidP="008E28A2">
            <w:pPr>
              <w:pStyle w:val="Body"/>
              <w:spacing w:before="60" w:after="60"/>
              <w:rPr>
                <w:sz w:val="22"/>
                <w:szCs w:val="22"/>
              </w:rPr>
            </w:pPr>
            <w:r w:rsidRPr="005332E3">
              <w:rPr>
                <w:sz w:val="22"/>
                <w:szCs w:val="22"/>
              </w:rPr>
              <w:t>Not be covered by any health plan that provides coverage below the minimum required HDHP deductible</w:t>
            </w:r>
            <w:r>
              <w:rPr>
                <w:sz w:val="22"/>
                <w:szCs w:val="22"/>
              </w:rPr>
              <w:t xml:space="preserve"> (with certain exceptions)</w:t>
            </w:r>
            <w:r w:rsidRPr="005332E3">
              <w:rPr>
                <w:sz w:val="22"/>
                <w:szCs w:val="22"/>
              </w:rPr>
              <w:t xml:space="preserve">; </w:t>
            </w:r>
          </w:p>
        </w:tc>
      </w:tr>
      <w:tr w:rsidR="00FA26DC" w14:paraId="1DCCCC73" w14:textId="77777777" w:rsidTr="002E70AE">
        <w:tc>
          <w:tcPr>
            <w:tcW w:w="1271" w:type="dxa"/>
            <w:shd w:val="clear" w:color="auto" w:fill="5083C9"/>
            <w:vAlign w:val="center"/>
          </w:tcPr>
          <w:p w14:paraId="37A69008" w14:textId="77777777" w:rsidR="001B0FFB" w:rsidRPr="00374181" w:rsidRDefault="00631EA6" w:rsidP="008E28A2">
            <w:pPr>
              <w:pStyle w:val="Tableheading"/>
              <w:spacing w:before="60" w:after="60"/>
              <w:rPr>
                <w:sz w:val="32"/>
              </w:rPr>
            </w:pPr>
            <w:r w:rsidRPr="00374181">
              <w:rPr>
                <w:sz w:val="32"/>
              </w:rPr>
              <w:t>3</w:t>
            </w:r>
          </w:p>
        </w:tc>
        <w:tc>
          <w:tcPr>
            <w:tcW w:w="7920" w:type="dxa"/>
            <w:shd w:val="clear" w:color="auto" w:fill="E8EFF8"/>
          </w:tcPr>
          <w:p w14:paraId="0BF053D5" w14:textId="77777777" w:rsidR="001B0FFB" w:rsidRPr="005332E3" w:rsidRDefault="00631EA6" w:rsidP="008E28A2">
            <w:pPr>
              <w:pStyle w:val="Body"/>
              <w:spacing w:before="60" w:after="60"/>
              <w:rPr>
                <w:sz w:val="22"/>
                <w:szCs w:val="22"/>
              </w:rPr>
            </w:pPr>
            <w:r w:rsidRPr="005332E3">
              <w:rPr>
                <w:sz w:val="22"/>
                <w:szCs w:val="22"/>
              </w:rPr>
              <w:t xml:space="preserve">Not be enrolled in Medicare; and </w:t>
            </w:r>
          </w:p>
        </w:tc>
      </w:tr>
      <w:tr w:rsidR="00FA26DC" w14:paraId="5F7CC2B8" w14:textId="77777777" w:rsidTr="002E70AE">
        <w:tc>
          <w:tcPr>
            <w:tcW w:w="1271" w:type="dxa"/>
            <w:shd w:val="clear" w:color="auto" w:fill="5083C9"/>
            <w:vAlign w:val="center"/>
          </w:tcPr>
          <w:p w14:paraId="54CC28D9" w14:textId="77777777" w:rsidR="001B0FFB" w:rsidRPr="00374181" w:rsidRDefault="00631EA6" w:rsidP="008E28A2">
            <w:pPr>
              <w:pStyle w:val="Tableheading"/>
              <w:spacing w:before="60" w:after="60"/>
              <w:rPr>
                <w:sz w:val="32"/>
              </w:rPr>
            </w:pPr>
            <w:r w:rsidRPr="00374181">
              <w:rPr>
                <w:sz w:val="32"/>
              </w:rPr>
              <w:t>4</w:t>
            </w:r>
          </w:p>
        </w:tc>
        <w:tc>
          <w:tcPr>
            <w:tcW w:w="7920" w:type="dxa"/>
            <w:shd w:val="clear" w:color="auto" w:fill="E8EFF8"/>
          </w:tcPr>
          <w:p w14:paraId="3747FB34" w14:textId="77777777" w:rsidR="001B0FFB" w:rsidRPr="005332E3" w:rsidRDefault="00631EA6" w:rsidP="008E28A2">
            <w:pPr>
              <w:pStyle w:val="Checkmark"/>
              <w:numPr>
                <w:ilvl w:val="0"/>
                <w:numId w:val="0"/>
              </w:numPr>
              <w:spacing w:before="60" w:after="60"/>
              <w:rPr>
                <w:sz w:val="22"/>
                <w:szCs w:val="22"/>
              </w:rPr>
            </w:pPr>
            <w:r w:rsidRPr="005332E3">
              <w:rPr>
                <w:sz w:val="22"/>
                <w:szCs w:val="22"/>
              </w:rPr>
              <w:t xml:space="preserve">Not be eligible to be claimed as a dependent on another person’s tax return. </w:t>
            </w:r>
          </w:p>
        </w:tc>
      </w:tr>
    </w:tbl>
    <w:p w14:paraId="5046FBF6" w14:textId="77777777" w:rsidR="001B0FFB" w:rsidRPr="00384EDB" w:rsidRDefault="00631EA6" w:rsidP="00384EDB">
      <w:pPr>
        <w:pStyle w:val="BodyText"/>
        <w:spacing w:before="240" w:after="0"/>
        <w:rPr>
          <w:b/>
          <w:i/>
          <w:color w:val="5083C9"/>
          <w:sz w:val="24"/>
          <w:szCs w:val="24"/>
        </w:rPr>
      </w:pPr>
      <w:r w:rsidRPr="00384EDB">
        <w:rPr>
          <w:b/>
          <w:i/>
          <w:color w:val="5083C9"/>
          <w:sz w:val="24"/>
          <w:szCs w:val="24"/>
        </w:rPr>
        <w:t>Employer Verification</w:t>
      </w:r>
    </w:p>
    <w:p w14:paraId="4E3CF484" w14:textId="77777777" w:rsidR="001B0FFB" w:rsidRDefault="00631EA6" w:rsidP="001B0FFB">
      <w:pPr>
        <w:pStyle w:val="BodyText"/>
      </w:pPr>
      <w:r>
        <w:t>When an employer makes a tax-free contribution to an employee’s HSA, the employer should have a reasonable belief that the contribution will be excluded from the employee’s income. However, the employee, and not the employer, is primarily responsible for d</w:t>
      </w:r>
      <w:r>
        <w:t xml:space="preserve">etermining eligibility for HSA contributions. </w:t>
      </w:r>
      <w:hyperlink r:id="rId18" w:history="1">
        <w:r w:rsidRPr="00384EDB">
          <w:rPr>
            <w:rStyle w:val="Hyperlink"/>
          </w:rPr>
          <w:t>IRS Notice 2004-50</w:t>
        </w:r>
      </w:hyperlink>
      <w:r>
        <w:t xml:space="preserve"> (Q&amp;A-81) states that an employer is only responsible for determining whether the employee is covered under an HDHP or any low ded</w:t>
      </w:r>
      <w:r>
        <w:t xml:space="preserve">uctible health plan sponsored by the employer, including health flexible spending accounts (FSAs) and health reimbursement arrangements (HRAs). </w:t>
      </w:r>
    </w:p>
    <w:p w14:paraId="137D583A" w14:textId="77777777" w:rsidR="001B0FFB" w:rsidRDefault="00631EA6" w:rsidP="001B0FFB">
      <w:pPr>
        <w:pStyle w:val="BodyText"/>
      </w:pPr>
      <w:r>
        <w:t>If the employer does not have a reasonable belief that the contribution will be excluded from the employees’ in</w:t>
      </w:r>
      <w:r>
        <w:t xml:space="preserve">come (for example, because the employee is covered under a non-HDHP sponsored by the employer), then the contribution is subject to federal income and employment tax withholding. </w:t>
      </w:r>
    </w:p>
    <w:p w14:paraId="4AAE6E9A" w14:textId="77777777" w:rsidR="001B0FFB" w:rsidRPr="00384EDB" w:rsidRDefault="00631EA6" w:rsidP="00384EDB">
      <w:pPr>
        <w:pStyle w:val="BodyText"/>
        <w:spacing w:after="0"/>
        <w:rPr>
          <w:b/>
          <w:i/>
          <w:color w:val="5083C9"/>
          <w:sz w:val="24"/>
          <w:szCs w:val="24"/>
        </w:rPr>
      </w:pPr>
      <w:r w:rsidRPr="00384EDB">
        <w:rPr>
          <w:b/>
          <w:i/>
          <w:color w:val="5083C9"/>
          <w:sz w:val="24"/>
          <w:szCs w:val="24"/>
        </w:rPr>
        <w:t>HSA-</w:t>
      </w:r>
      <w:r w:rsidR="00384EDB" w:rsidRPr="00384EDB">
        <w:rPr>
          <w:b/>
          <w:i/>
          <w:color w:val="5083C9"/>
          <w:sz w:val="24"/>
          <w:szCs w:val="24"/>
        </w:rPr>
        <w:t>C</w:t>
      </w:r>
      <w:r w:rsidRPr="00384EDB">
        <w:rPr>
          <w:b/>
          <w:i/>
          <w:color w:val="5083C9"/>
          <w:sz w:val="24"/>
          <w:szCs w:val="24"/>
        </w:rPr>
        <w:t xml:space="preserve">ompatible Coverage </w:t>
      </w:r>
    </w:p>
    <w:p w14:paraId="20D5F95E" w14:textId="77777777" w:rsidR="001B0FFB" w:rsidRDefault="00631EA6" w:rsidP="001B0FFB">
      <w:pPr>
        <w:pStyle w:val="BodyText"/>
      </w:pPr>
      <w:r>
        <w:t>To be eligible for HSA contributions, an individual</w:t>
      </w:r>
      <w:r>
        <w:t xml:space="preserve"> generally cannot have health coverage other than HDHP coverage. This means that an HSA-eligible individual cannot be covered under a health plan that provides coverage below the HDHP minimum annual deductible. Certain types of non-HDHP coverage, however, </w:t>
      </w:r>
      <w:r>
        <w:t>will not prevent an individual from being HSA-eligible. These types of coverage include the following:</w:t>
      </w:r>
    </w:p>
    <w:tbl>
      <w:tblPr>
        <w:tblW w:w="0" w:type="auto"/>
        <w:tblInd w:w="90" w:type="dxa"/>
        <w:tblBorders>
          <w:insideH w:val="single" w:sz="18" w:space="0" w:color="FFFFFF" w:themeColor="background1"/>
          <w:insideV w:val="single" w:sz="18" w:space="0" w:color="FFFFFF" w:themeColor="background1"/>
        </w:tblBorders>
        <w:tblLook w:val="04A0" w:firstRow="1" w:lastRow="0" w:firstColumn="1" w:lastColumn="0" w:noHBand="0" w:noVBand="1"/>
      </w:tblPr>
      <w:tblGrid>
        <w:gridCol w:w="2070"/>
        <w:gridCol w:w="8460"/>
      </w:tblGrid>
      <w:tr w:rsidR="00FA26DC" w14:paraId="74D4F0EB" w14:textId="77777777" w:rsidTr="002E70AE">
        <w:trPr>
          <w:tblHeader/>
        </w:trPr>
        <w:tc>
          <w:tcPr>
            <w:tcW w:w="2070" w:type="dxa"/>
            <w:shd w:val="clear" w:color="auto" w:fill="808080" w:themeFill="background1" w:themeFillShade="80"/>
            <w:vAlign w:val="center"/>
          </w:tcPr>
          <w:p w14:paraId="4BCC4272" w14:textId="77777777" w:rsidR="00384EDB" w:rsidRPr="00F745BF" w:rsidRDefault="00631EA6" w:rsidP="008E28A2">
            <w:pPr>
              <w:pStyle w:val="BodyText"/>
              <w:spacing w:before="60" w:after="60"/>
              <w:jc w:val="center"/>
              <w:rPr>
                <w:b/>
                <w:color w:val="FFFFFF" w:themeColor="background1"/>
                <w:sz w:val="24"/>
                <w:szCs w:val="24"/>
              </w:rPr>
            </w:pPr>
            <w:r w:rsidRPr="00F745BF">
              <w:rPr>
                <w:b/>
                <w:color w:val="FFFFFF" w:themeColor="background1"/>
                <w:sz w:val="24"/>
                <w:szCs w:val="24"/>
              </w:rPr>
              <w:t>Type of Coverage</w:t>
            </w:r>
          </w:p>
        </w:tc>
        <w:tc>
          <w:tcPr>
            <w:tcW w:w="8460" w:type="dxa"/>
            <w:shd w:val="clear" w:color="auto" w:fill="808080" w:themeFill="background1" w:themeFillShade="80"/>
          </w:tcPr>
          <w:p w14:paraId="761DEB33" w14:textId="77777777" w:rsidR="00384EDB" w:rsidRPr="00F745BF" w:rsidRDefault="00631EA6" w:rsidP="008E28A2">
            <w:pPr>
              <w:pStyle w:val="BodyText"/>
              <w:spacing w:before="60" w:after="60"/>
              <w:jc w:val="center"/>
              <w:rPr>
                <w:b/>
                <w:color w:val="FFFFFF" w:themeColor="background1"/>
                <w:sz w:val="24"/>
                <w:szCs w:val="24"/>
              </w:rPr>
            </w:pPr>
            <w:r w:rsidRPr="00F745BF">
              <w:rPr>
                <w:b/>
                <w:color w:val="FFFFFF" w:themeColor="background1"/>
                <w:sz w:val="24"/>
                <w:szCs w:val="24"/>
              </w:rPr>
              <w:t>Description</w:t>
            </w:r>
          </w:p>
        </w:tc>
      </w:tr>
      <w:tr w:rsidR="00FA26DC" w14:paraId="2491A33B" w14:textId="77777777" w:rsidTr="002E70AE">
        <w:tc>
          <w:tcPr>
            <w:tcW w:w="2070" w:type="dxa"/>
            <w:shd w:val="clear" w:color="auto" w:fill="5083C9"/>
            <w:vAlign w:val="center"/>
          </w:tcPr>
          <w:p w14:paraId="282B6F11" w14:textId="77777777" w:rsidR="00384EDB" w:rsidRPr="0081104B" w:rsidRDefault="00631EA6" w:rsidP="008E28A2">
            <w:pPr>
              <w:pStyle w:val="BodyText"/>
              <w:spacing w:before="60" w:after="60"/>
              <w:jc w:val="center"/>
              <w:rPr>
                <w:b/>
                <w:color w:val="FFFFFF"/>
                <w:sz w:val="24"/>
                <w:szCs w:val="24"/>
              </w:rPr>
            </w:pPr>
            <w:r w:rsidRPr="0081104B">
              <w:rPr>
                <w:b/>
                <w:color w:val="FFFFFF"/>
                <w:sz w:val="24"/>
                <w:szCs w:val="24"/>
              </w:rPr>
              <w:t>Preventive Care</w:t>
            </w:r>
          </w:p>
        </w:tc>
        <w:tc>
          <w:tcPr>
            <w:tcW w:w="8460" w:type="dxa"/>
            <w:shd w:val="clear" w:color="auto" w:fill="E8EFF8"/>
          </w:tcPr>
          <w:p w14:paraId="2550B738" w14:textId="77777777" w:rsidR="00384EDB" w:rsidRDefault="00631EA6" w:rsidP="008E28A2">
            <w:pPr>
              <w:pStyle w:val="BodyText"/>
              <w:spacing w:before="60" w:after="60"/>
            </w:pPr>
            <w:r>
              <w:t>Includes p</w:t>
            </w:r>
            <w:r w:rsidRPr="003416FF">
              <w:t xml:space="preserve">eriodic health examinations, routine prenatal and well-child care, child and adult </w:t>
            </w:r>
            <w:r w:rsidRPr="003416FF">
              <w:t>immunizations</w:t>
            </w:r>
            <w:r>
              <w:t xml:space="preserve">, tobacco cessation programs, obesity weight loss programs and certain health screenings. In general, it does not include any service or benefit intended to treat an existing illness, injury or condition. </w:t>
            </w:r>
          </w:p>
        </w:tc>
      </w:tr>
      <w:tr w:rsidR="00FA26DC" w14:paraId="7517C61B" w14:textId="77777777" w:rsidTr="002E70AE">
        <w:tc>
          <w:tcPr>
            <w:tcW w:w="2070" w:type="dxa"/>
            <w:shd w:val="clear" w:color="auto" w:fill="5083C9"/>
            <w:vAlign w:val="center"/>
          </w:tcPr>
          <w:p w14:paraId="022FD7A5" w14:textId="77777777" w:rsidR="00384EDB" w:rsidRPr="0081104B" w:rsidRDefault="00631EA6" w:rsidP="008E28A2">
            <w:pPr>
              <w:pStyle w:val="BodyText"/>
              <w:spacing w:before="60" w:after="60"/>
              <w:jc w:val="center"/>
              <w:rPr>
                <w:b/>
                <w:color w:val="FFFFFF"/>
                <w:sz w:val="24"/>
                <w:szCs w:val="24"/>
              </w:rPr>
            </w:pPr>
            <w:r w:rsidRPr="0081104B">
              <w:rPr>
                <w:b/>
                <w:color w:val="FFFFFF"/>
                <w:sz w:val="24"/>
                <w:szCs w:val="24"/>
              </w:rPr>
              <w:t>Permitted Insurance</w:t>
            </w:r>
          </w:p>
        </w:tc>
        <w:tc>
          <w:tcPr>
            <w:tcW w:w="8460" w:type="dxa"/>
            <w:shd w:val="clear" w:color="auto" w:fill="E8EFF8"/>
            <w:vAlign w:val="center"/>
          </w:tcPr>
          <w:p w14:paraId="007073D1" w14:textId="77777777" w:rsidR="00384EDB" w:rsidRDefault="00631EA6" w:rsidP="008E28A2">
            <w:pPr>
              <w:pStyle w:val="BodyText"/>
              <w:spacing w:before="60" w:after="60"/>
              <w:jc w:val="left"/>
            </w:pPr>
            <w:r>
              <w:t>Insurance benefits for workers’ compensation, tort liabilities, property liabilities, specific diseases or illnesses, or a fixed amount per day (or other period) for hospitalization (that is, hospital indemnity insurance).</w:t>
            </w:r>
          </w:p>
        </w:tc>
      </w:tr>
      <w:tr w:rsidR="00FA26DC" w14:paraId="2503A035" w14:textId="77777777" w:rsidTr="002E70AE">
        <w:tc>
          <w:tcPr>
            <w:tcW w:w="2070" w:type="dxa"/>
            <w:shd w:val="clear" w:color="auto" w:fill="5083C9"/>
            <w:vAlign w:val="center"/>
          </w:tcPr>
          <w:p w14:paraId="2C17FEF4" w14:textId="77777777" w:rsidR="00384EDB" w:rsidRPr="0081104B" w:rsidRDefault="00631EA6" w:rsidP="008E28A2">
            <w:pPr>
              <w:pStyle w:val="BodyText"/>
              <w:spacing w:before="60" w:after="60"/>
              <w:jc w:val="center"/>
              <w:rPr>
                <w:b/>
                <w:color w:val="FFFFFF"/>
                <w:sz w:val="24"/>
                <w:szCs w:val="24"/>
              </w:rPr>
            </w:pPr>
            <w:r w:rsidRPr="0081104B">
              <w:rPr>
                <w:b/>
                <w:color w:val="FFFFFF"/>
                <w:sz w:val="24"/>
                <w:szCs w:val="24"/>
              </w:rPr>
              <w:t>Permitted Coverage</w:t>
            </w:r>
          </w:p>
        </w:tc>
        <w:tc>
          <w:tcPr>
            <w:tcW w:w="8460" w:type="dxa"/>
            <w:shd w:val="clear" w:color="auto" w:fill="E8EFF8"/>
          </w:tcPr>
          <w:p w14:paraId="2F9C94C2" w14:textId="77777777" w:rsidR="00384EDB" w:rsidRDefault="00631EA6" w:rsidP="008E28A2">
            <w:pPr>
              <w:pStyle w:val="BodyText"/>
              <w:spacing w:before="60" w:after="60"/>
            </w:pPr>
            <w:r>
              <w:t xml:space="preserve">Separate coverage for accidents, disability, dental care, vision care or long-term care. </w:t>
            </w:r>
          </w:p>
        </w:tc>
      </w:tr>
      <w:tr w:rsidR="00FA26DC" w14:paraId="4AAA9996" w14:textId="77777777" w:rsidTr="002E70AE">
        <w:tc>
          <w:tcPr>
            <w:tcW w:w="2070" w:type="dxa"/>
            <w:shd w:val="clear" w:color="auto" w:fill="5083C9"/>
            <w:vAlign w:val="center"/>
          </w:tcPr>
          <w:p w14:paraId="1725E0E8" w14:textId="77777777" w:rsidR="00384EDB" w:rsidRPr="0081104B" w:rsidRDefault="00631EA6" w:rsidP="008E28A2">
            <w:pPr>
              <w:pStyle w:val="BodyText"/>
              <w:spacing w:before="60" w:after="60"/>
              <w:jc w:val="center"/>
              <w:rPr>
                <w:b/>
                <w:color w:val="FFFFFF"/>
                <w:sz w:val="24"/>
                <w:szCs w:val="24"/>
              </w:rPr>
            </w:pPr>
            <w:r w:rsidRPr="0081104B">
              <w:rPr>
                <w:b/>
                <w:color w:val="FFFFFF"/>
                <w:sz w:val="24"/>
                <w:szCs w:val="24"/>
              </w:rPr>
              <w:lastRenderedPageBreak/>
              <w:t>“Insignificant” Medical Benefits</w:t>
            </w:r>
          </w:p>
        </w:tc>
        <w:tc>
          <w:tcPr>
            <w:tcW w:w="8460" w:type="dxa"/>
            <w:shd w:val="clear" w:color="auto" w:fill="E8EFF8"/>
          </w:tcPr>
          <w:p w14:paraId="2331DAFB" w14:textId="77777777" w:rsidR="00384EDB" w:rsidRDefault="00631EA6" w:rsidP="008E28A2">
            <w:pPr>
              <w:pStyle w:val="BodyText"/>
              <w:spacing w:before="60" w:after="60"/>
            </w:pPr>
            <w:r>
              <w:t>An employee assistance program (EAP)</w:t>
            </w:r>
            <w:r w:rsidRPr="00AD50F3">
              <w:t>, disease management program or wellness program if the program does not provide significant ben</w:t>
            </w:r>
            <w:r w:rsidRPr="00AD50F3">
              <w:t>efits in the nature of medical care or treatment</w:t>
            </w:r>
            <w:r>
              <w:t>.</w:t>
            </w:r>
            <w:r w:rsidRPr="00AD50F3">
              <w:t xml:space="preserve"> To determine whether a program provides significant benefits in the nature of medical care o</w:t>
            </w:r>
            <w:r>
              <w:t>r treatment, p</w:t>
            </w:r>
            <w:r w:rsidRPr="00AD50F3">
              <w:t>reventive care ser</w:t>
            </w:r>
            <w:r>
              <w:t xml:space="preserve">vices are </w:t>
            </w:r>
            <w:r w:rsidRPr="00AD50F3">
              <w:t>disregarded.</w:t>
            </w:r>
          </w:p>
        </w:tc>
      </w:tr>
      <w:tr w:rsidR="00FA26DC" w14:paraId="1018AEF3" w14:textId="77777777" w:rsidTr="002E70AE">
        <w:tc>
          <w:tcPr>
            <w:tcW w:w="2070" w:type="dxa"/>
            <w:shd w:val="clear" w:color="auto" w:fill="5083C9"/>
            <w:vAlign w:val="center"/>
          </w:tcPr>
          <w:p w14:paraId="0DD2F77F" w14:textId="77777777" w:rsidR="00384EDB" w:rsidRPr="0081104B" w:rsidRDefault="00631EA6" w:rsidP="008E28A2">
            <w:pPr>
              <w:pStyle w:val="BodyText"/>
              <w:spacing w:before="60" w:after="60"/>
              <w:jc w:val="center"/>
              <w:rPr>
                <w:b/>
                <w:color w:val="FFFFFF"/>
                <w:sz w:val="24"/>
                <w:szCs w:val="24"/>
              </w:rPr>
            </w:pPr>
            <w:r w:rsidRPr="0081104B">
              <w:rPr>
                <w:b/>
                <w:color w:val="FFFFFF"/>
                <w:sz w:val="24"/>
                <w:szCs w:val="24"/>
              </w:rPr>
              <w:t>Discount Programs</w:t>
            </w:r>
          </w:p>
        </w:tc>
        <w:tc>
          <w:tcPr>
            <w:tcW w:w="8460" w:type="dxa"/>
            <w:shd w:val="clear" w:color="auto" w:fill="E8EFF8"/>
          </w:tcPr>
          <w:p w14:paraId="716D7B1B" w14:textId="77777777" w:rsidR="00384EDB" w:rsidRDefault="00631EA6" w:rsidP="008E28A2">
            <w:pPr>
              <w:pStyle w:val="BodyText"/>
              <w:spacing w:before="60" w:after="60"/>
            </w:pPr>
            <w:r w:rsidRPr="00C87E2E">
              <w:t>Discount cards that entitle holders to o</w:t>
            </w:r>
            <w:r w:rsidRPr="00C87E2E">
              <w:t>btain discounts for health care services or products at managed care market rates if the individual is required to pay the costs of the health care (taking into account the discount) until the deductible of the HDHP is satisfied.</w:t>
            </w:r>
          </w:p>
        </w:tc>
      </w:tr>
    </w:tbl>
    <w:p w14:paraId="1DFC68BC" w14:textId="77777777" w:rsidR="00C84C66" w:rsidRPr="008A7E71" w:rsidRDefault="00631EA6" w:rsidP="00FB3448">
      <w:pPr>
        <w:pStyle w:val="SubHeader"/>
        <w:spacing w:before="240"/>
      </w:pPr>
      <w:r>
        <w:t>Application to Telemedici</w:t>
      </w:r>
      <w:r>
        <w:t>ne</w:t>
      </w:r>
      <w:r w:rsidR="002E70AE">
        <w:t xml:space="preserve"> – </w:t>
      </w:r>
      <w:r w:rsidR="002E70AE" w:rsidRPr="002E70AE">
        <w:rPr>
          <w:color w:val="FF0000"/>
        </w:rPr>
        <w:t xml:space="preserve">Rules Applicable Before </w:t>
      </w:r>
      <w:r w:rsidR="00FD2D1B">
        <w:rPr>
          <w:color w:val="FF0000"/>
        </w:rPr>
        <w:t>Jan. 1, 2020</w:t>
      </w:r>
      <w:r w:rsidR="002E70AE" w:rsidRPr="002E70AE">
        <w:rPr>
          <w:color w:val="FF0000"/>
        </w:rPr>
        <w:t xml:space="preserve"> </w:t>
      </w:r>
    </w:p>
    <w:p w14:paraId="774AC092" w14:textId="77777777" w:rsidR="00FB3448" w:rsidRDefault="00631EA6" w:rsidP="00FB3448">
      <w:pPr>
        <w:pStyle w:val="BodyText"/>
      </w:pPr>
      <w:r>
        <w:t xml:space="preserve">The IRS has not addressed how telemedicine benefits impact individuals’ eligibility for HSA contributions. Due to the growing popularity of telemedicine and HSAs, more guidance from the IRS on this topic would be </w:t>
      </w:r>
      <w:r>
        <w:t xml:space="preserve">helpful. Under the IRS’ general rules for HSA eligibility, a telemedicine program may not prevent an individual from contributing to an HSA if the program satisfies one of the design options described below. </w:t>
      </w:r>
    </w:p>
    <w:p w14:paraId="09CA9DCC" w14:textId="77777777" w:rsidR="00FB3448" w:rsidRDefault="00631EA6" w:rsidP="00FB3448">
      <w:pPr>
        <w:pStyle w:val="Checkbox"/>
      </w:pPr>
      <w:r>
        <w:t xml:space="preserve">The telemedicine program is offered as part of </w:t>
      </w:r>
      <w:r>
        <w:t>the HDHP and the program’s benefits are subject to the HDHP deductible (with the exception of preventive care benefits). This means that participants would be required to pay the fair market value of the services (or managed care rates for discounted healt</w:t>
      </w:r>
      <w:r>
        <w:t xml:space="preserve">h services, if applicable) until the HDHP deductible is satisfied. Once their HDHP deductibles have been satisfied, employees can have access to free or low-cost medical benefits without jeopardizing their HSA eligibility. </w:t>
      </w:r>
    </w:p>
    <w:p w14:paraId="3D145F38" w14:textId="77777777" w:rsidR="00FB3448" w:rsidRDefault="00631EA6" w:rsidP="00FB3448">
      <w:pPr>
        <w:pStyle w:val="Checkbox"/>
      </w:pPr>
      <w:r>
        <w:t xml:space="preserve">The telemedicine program is not </w:t>
      </w:r>
      <w:r>
        <w:t>considered a “health plan” under the HSA eligibility rules because it does not provide significant benefits for medical care or treatment. Unfortunately, the IRS has not provided specific rules for determining when medical benefits are significant. The IRS</w:t>
      </w:r>
      <w:r>
        <w:t xml:space="preserve"> has indicated, however, that the amount, scope and duration of covered services should be taken into account. Because telemedicine benefits are often similar to the services covered under the HDHP, it may be difficult for most programs to satisfy this exc</w:t>
      </w:r>
      <w:r>
        <w:t xml:space="preserve">eption. </w:t>
      </w:r>
    </w:p>
    <w:p w14:paraId="5195C574" w14:textId="77777777" w:rsidR="00C84C66" w:rsidRDefault="00631EA6" w:rsidP="00FB3448">
      <w:pPr>
        <w:pStyle w:val="Checkbox"/>
      </w:pPr>
      <w:r>
        <w:t xml:space="preserve">Benefits under the telemedicine program are limited to preventive care services. Because most HDHPs are required to cover preventive care benefits without cost sharing, this design option may not be attractive for many employers.   </w:t>
      </w:r>
      <w:r w:rsidRPr="008A7E71">
        <w:t>he Employee Ret</w:t>
      </w:r>
      <w:r w:rsidRPr="008A7E71">
        <w:t>irement Income Security Act of 1974 (ERISA) is a federal law that sets minimum standards for employee benefit plans maintained by private-sector employers. ERISA includes requirements for both retirement plans (for example, 401(k) plans) and welfare benefi</w:t>
      </w:r>
      <w:r w:rsidRPr="008A7E71">
        <w:t xml:space="preserve">t plans (for example, group health plans). </w:t>
      </w:r>
    </w:p>
    <w:sectPr w:rsidR="00C84C66" w:rsidSect="00C84C66">
      <w:headerReference w:type="default" r:id="rId19"/>
      <w:footerReference w:type="default" r:id="rId20"/>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646F" w14:textId="77777777" w:rsidR="00000000" w:rsidRDefault="00631EA6">
      <w:pPr>
        <w:spacing w:after="0" w:line="240" w:lineRule="auto"/>
      </w:pPr>
      <w:r>
        <w:separator/>
      </w:r>
    </w:p>
  </w:endnote>
  <w:endnote w:type="continuationSeparator" w:id="0">
    <w:p w14:paraId="1AC88487" w14:textId="77777777" w:rsidR="00000000" w:rsidRDefault="0063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D80CF" w14:textId="77777777" w:rsidR="0098636D" w:rsidRDefault="00631EA6">
    <w:pPr>
      <w:pStyle w:val="Footer"/>
    </w:pPr>
    <w:r>
      <w:rPr>
        <w:noProof/>
      </w:rPr>
      <mc:AlternateContent>
        <mc:Choice Requires="wps">
          <w:drawing>
            <wp:anchor distT="0" distB="0" distL="114300" distR="114300" simplePos="0" relativeHeight="251657216" behindDoc="0" locked="0" layoutInCell="1" allowOverlap="1" wp14:anchorId="30C43D62" wp14:editId="7373B7FC">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0288" from="0,470.5pt" to="539.3pt,471.2pt" strokecolor="#4472c4"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39662127" wp14:editId="1E12B082">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99777"/>
      <w:docPartObj>
        <w:docPartGallery w:val="Page Numbers (Bottom of Page)"/>
        <w:docPartUnique/>
      </w:docPartObj>
    </w:sdtPr>
    <w:sdtEndPr>
      <w:rPr>
        <w:noProof/>
      </w:rPr>
    </w:sdtEndPr>
    <w:sdtContent>
      <w:p w14:paraId="1B20A04D" w14:textId="77777777" w:rsidR="00A95ADA" w:rsidRDefault="00631EA6">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DB26CBC"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52B1" w14:textId="77777777" w:rsidR="00000000" w:rsidRDefault="00631EA6">
      <w:pPr>
        <w:spacing w:after="0" w:line="240" w:lineRule="auto"/>
      </w:pPr>
      <w:r>
        <w:separator/>
      </w:r>
    </w:p>
  </w:footnote>
  <w:footnote w:type="continuationSeparator" w:id="0">
    <w:p w14:paraId="581E4832" w14:textId="77777777" w:rsidR="00000000" w:rsidRDefault="0063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7999" w14:textId="77777777" w:rsidR="0098636D" w:rsidRDefault="00631EA6">
    <w:pPr>
      <w:pStyle w:val="Header"/>
    </w:pPr>
    <w:r>
      <w:rPr>
        <w:noProof/>
      </w:rPr>
      <w:drawing>
        <wp:anchor distT="0" distB="0" distL="114300" distR="114300" simplePos="0" relativeHeight="251655168" behindDoc="1" locked="0" layoutInCell="1" allowOverlap="1" wp14:anchorId="3E43D036" wp14:editId="4A977DDC">
          <wp:simplePos x="0" y="0"/>
          <wp:positionH relativeFrom="page">
            <wp:align>right</wp:align>
          </wp:positionH>
          <wp:positionV relativeFrom="page">
            <wp:posOffset>-20955</wp:posOffset>
          </wp:positionV>
          <wp:extent cx="7772399" cy="3856498"/>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9" cy="38564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01EDC" w14:textId="77777777" w:rsidR="00A357CD" w:rsidRDefault="00631EA6">
    <w:pPr>
      <w:pStyle w:val="Header"/>
    </w:pPr>
    <w:r>
      <w:rPr>
        <w:noProof/>
      </w:rPr>
      <mc:AlternateContent>
        <mc:Choice Requires="wps">
          <w:drawing>
            <wp:anchor distT="0" distB="0" distL="114300" distR="114300" simplePos="0" relativeHeight="251660288" behindDoc="0" locked="0" layoutInCell="1" allowOverlap="1" wp14:anchorId="4E0A2ED0" wp14:editId="77B2B541">
              <wp:simplePos x="0" y="0"/>
              <wp:positionH relativeFrom="margin">
                <wp:posOffset>0</wp:posOffset>
              </wp:positionH>
              <wp:positionV relativeFrom="margin">
                <wp:posOffset>7751618</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0"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3360" from="0,610.35pt" to="539.25pt,611.05pt" strokecolor="#4472c4" strokeweight="3.5pt">
              <v:stroke joinstyle="miter" opacity="49087f"/>
              <w10:wrap anchorx="margin" anchory="margin"/>
            </v:line>
          </w:pict>
        </mc:Fallback>
      </mc:AlternateContent>
    </w:r>
    <w:r>
      <w:rPr>
        <w:noProof/>
      </w:rPr>
      <mc:AlternateContent>
        <mc:Choice Requires="wps">
          <w:drawing>
            <wp:anchor distT="0" distB="0" distL="114300" distR="114300" simplePos="0" relativeHeight="251659264" behindDoc="0" locked="0" layoutInCell="1" allowOverlap="1" wp14:anchorId="1DE07AB2" wp14:editId="47CFD0B6">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51563643" w14:textId="77777777" w:rsidR="00EC1229" w:rsidRPr="00817EEE" w:rsidRDefault="00631EA6"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©201</w:t>
                          </w:r>
                          <w:r>
                            <w:t>9</w:t>
                          </w:r>
                          <w:r w:rsidR="00FD2D1B">
                            <w:t>-2020</w:t>
                          </w:r>
                          <w:r>
                            <w:t xml:space="preserve"> </w:t>
                          </w:r>
                          <w:r w:rsidRPr="00817EEE">
                            <w:t>Zywave, Inc.</w:t>
                          </w:r>
                          <w:r>
                            <w:t xml:space="preserve"> </w:t>
                          </w:r>
                          <w:r w:rsidRPr="00817EEE">
                            <w:t>All rights reserved.</w:t>
                          </w:r>
                        </w:p>
                        <w:p w14:paraId="736C8D91" w14:textId="77777777" w:rsidR="00EC1229" w:rsidRPr="00947E11" w:rsidRDefault="00EC1229" w:rsidP="00EC1229">
                          <w:pPr>
                            <w:pStyle w:val="Disclaimer"/>
                            <w:rPr>
                              <w:szCs w:val="16"/>
                            </w:rPr>
                          </w:pPr>
                        </w:p>
                        <w:p w14:paraId="267FDCBA"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DE07AB2" id="_x0000_t202" coordsize="21600,21600" o:spt="202" path="m,l,21600r21600,l21600,xe">
              <v:stroke joinstyle="miter"/>
              <v:path gradientshapeok="t" o:connecttype="rect"/>
            </v:shapetype>
            <v:shape id="Text Box 20" o:spid="_x0000_s1038" type="#_x0000_t202" style="position:absolute;margin-left:-4.35pt;margin-top:683.45pt;width:471.25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Y6LQIAAFMEAAAOAAAAZHJzL2Uyb0RvYy54bWysVFFv2jAQfp+0/2D5fQQYoRQRKtaKaVLV&#10;VoKqz8ZxSCTH9mxDwn79PjuBom5P016c89358919n7O4a2tJjsK6SquMjgZDSoTiOq/UPqOv2/WX&#10;GSXOM5UzqZXI6Ek4erf8/GnRmLkY61LLXFgCEOXmjclo6b2ZJ4njpaiZG2gjFIKFtjXz2Np9klvW&#10;AL2WyXg4nCaNtrmxmgvn4H3ognQZ8YtCcP9cFE54IjOK2nxcbVx3YU2WCzbfW2bKivdlsH+oomaV&#10;wqUXqAfmGTnY6g+ouuJWO134Add1ooui4iL2gG5Gww/dbEpmROwFw3HmMib3/2D50/HFkirP6Bjj&#10;UawGR1vRevJNtwQuzKcxbo60jUGib+EHz2e/gzO03Ra2Dl80RBAH1Oky3YDG4UxvZ5PZTUoJRyxN&#10;p+NphE/eTxvr/HehaxKMjFqwF4fKjo/OoxKknlPCZUqvKykjg1KRJqPTr+kwHrhEcEKqkCuiFnqY&#10;0FFXebB8u2v7Nnc6P6FLqzudOMPXFUp5ZM6/MAthoDGI3T9jKaTGlbq3KCm1/fU3f8gHX4hS0kBo&#10;GXU/D8wKSuQPBSZvR5NJUGbcTNKbwIO9juyuI+pQ32toeYRnZXg0Q76XZ7Owun7Dm1iFWxFiiuPu&#10;jPqzee87+eNNcbFaxSRo0TD/qDaGB+gwsDDobfvGrOnZ8ODxSZ8lyeYfSOlywVEYaTfHfgPlRur6&#10;VxaexvU+Zr3/C5a/AQAA//8DAFBLAwQUAAYACAAAACEA96S0EuMAAAAMAQAADwAAAGRycy9kb3du&#10;cmV2LnhtbEyPPU/DMBCGdyT+g3VIbK1D04Q0xKmqSBUSokNLFzYndpMI+xxitw38eo4Jxnvv0ftR&#10;rCdr2EWPvnco4GEeAdPYONVjK+D4tp1lwHyQqKRxqAV8aQ/r8vamkLlyV9zryyG0jEzQ51JAF8KQ&#10;c+6bTlvp527QSL+TG60MdI4tV6O8krk1fBFFKbeyR0ro5KCrTjcfh7MV8FJtd3JfL2z2barn19Nm&#10;+Dy+J0Lc302bJ2BBT+EPht/6VB1K6lS7MyrPjIBZ9kgk6XGaroARsYpjGlOTtEyWCfCy4P9HlD8A&#10;AAD//wMAUEsBAi0AFAAGAAgAAAAhALaDOJL+AAAA4QEAABMAAAAAAAAAAAAAAAAAAAAAAFtDb250&#10;ZW50X1R5cGVzXS54bWxQSwECLQAUAAYACAAAACEAOP0h/9YAAACUAQAACwAAAAAAAAAAAAAAAAAv&#10;AQAAX3JlbHMvLnJlbHNQSwECLQAUAAYACAAAACEAOmW2Oi0CAABTBAAADgAAAAAAAAAAAAAAAAAu&#10;AgAAZHJzL2Uyb0RvYy54bWxQSwECLQAUAAYACAAAACEA96S0EuMAAAAMAQAADwAAAAAAAAAAAAAA&#10;AACHBAAAZHJzL2Rvd25yZXYueG1sUEsFBgAAAAAEAAQA8wAAAJcFAAAAAA==&#10;" filled="f" stroked="f" strokeweight=".5pt">
              <v:textbox>
                <w:txbxContent>
                  <w:p w14:paraId="51563643" w14:textId="77777777" w:rsidR="00EC1229" w:rsidRPr="00817EEE" w:rsidRDefault="00631EA6"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©201</w:t>
                    </w:r>
                    <w:r>
                      <w:t>9</w:t>
                    </w:r>
                    <w:r w:rsidR="00FD2D1B">
                      <w:t>-2020</w:t>
                    </w:r>
                    <w:r>
                      <w:t xml:space="preserve"> </w:t>
                    </w:r>
                    <w:r w:rsidRPr="00817EEE">
                      <w:t>Zywave, Inc.</w:t>
                    </w:r>
                    <w:r>
                      <w:t xml:space="preserve"> </w:t>
                    </w:r>
                    <w:r w:rsidRPr="00817EEE">
                      <w:t>All rights reserved.</w:t>
                    </w:r>
                  </w:p>
                  <w:p w14:paraId="736C8D91" w14:textId="77777777" w:rsidR="00EC1229" w:rsidRPr="00947E11" w:rsidRDefault="00EC1229" w:rsidP="00EC1229">
                    <w:pPr>
                      <w:pStyle w:val="Disclaimer"/>
                      <w:rPr>
                        <w:szCs w:val="16"/>
                      </w:rPr>
                    </w:pPr>
                  </w:p>
                  <w:p w14:paraId="267FDCBA" w14:textId="77777777" w:rsidR="00E6115F" w:rsidRPr="00947E11" w:rsidRDefault="00E6115F" w:rsidP="008F7B15">
                    <w:pPr>
                      <w:pStyle w:val="Disclaimer"/>
                      <w:rPr>
                        <w:szCs w:val="16"/>
                      </w:rPr>
                    </w:pPr>
                  </w:p>
                </w:txbxContent>
              </v:textbox>
              <w10:wrap anchorx="margin"/>
            </v:shape>
          </w:pict>
        </mc:Fallback>
      </mc:AlternateContent>
    </w:r>
    <w:r w:rsidR="00A357CD">
      <w:rPr>
        <w:noProof/>
      </w:rPr>
      <w:drawing>
        <wp:anchor distT="0" distB="0" distL="114300" distR="114300" simplePos="0" relativeHeight="251658240" behindDoc="1" locked="0" layoutInCell="1" allowOverlap="1" wp14:anchorId="0A86ABFD" wp14:editId="6B80C287">
          <wp:simplePos x="0" y="0"/>
          <wp:positionH relativeFrom="page">
            <wp:posOffset>2</wp:posOffset>
          </wp:positionH>
          <wp:positionV relativeFrom="paragraph">
            <wp:posOffset>-457200</wp:posOffset>
          </wp:positionV>
          <wp:extent cx="7776971" cy="163677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6971" cy="1636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9pt;height:629.3pt" o:bullet="t">
        <v:imagedata r:id="rId1" o:title="Checkmark_BLUE"/>
      </v:shape>
    </w:pict>
  </w:numPicBullet>
  <w:abstractNum w:abstractNumId="0" w15:restartNumberingAfterBreak="0">
    <w:nsid w:val="11E95063"/>
    <w:multiLevelType w:val="hybridMultilevel"/>
    <w:tmpl w:val="0CE2A7C2"/>
    <w:lvl w:ilvl="0" w:tplc="8ECE212E">
      <w:start w:val="1"/>
      <w:numFmt w:val="bullet"/>
      <w:lvlText w:val=""/>
      <w:lvlJc w:val="left"/>
      <w:pPr>
        <w:ind w:left="540" w:hanging="360"/>
      </w:pPr>
      <w:rPr>
        <w:rFonts w:ascii="Symbol" w:hAnsi="Symbol" w:hint="default"/>
        <w:color w:val="5083C9"/>
      </w:rPr>
    </w:lvl>
    <w:lvl w:ilvl="1" w:tplc="5F90A84A">
      <w:start w:val="1"/>
      <w:numFmt w:val="bullet"/>
      <w:lvlText w:val="o"/>
      <w:lvlJc w:val="left"/>
      <w:pPr>
        <w:ind w:left="1440" w:hanging="360"/>
      </w:pPr>
      <w:rPr>
        <w:rFonts w:ascii="Courier New" w:hAnsi="Courier New" w:cs="Courier New" w:hint="default"/>
      </w:rPr>
    </w:lvl>
    <w:lvl w:ilvl="2" w:tplc="B6FC8B28" w:tentative="1">
      <w:start w:val="1"/>
      <w:numFmt w:val="bullet"/>
      <w:lvlText w:val=""/>
      <w:lvlJc w:val="left"/>
      <w:pPr>
        <w:ind w:left="2160" w:hanging="360"/>
      </w:pPr>
      <w:rPr>
        <w:rFonts w:ascii="Wingdings" w:hAnsi="Wingdings" w:hint="default"/>
      </w:rPr>
    </w:lvl>
    <w:lvl w:ilvl="3" w:tplc="0A42DE78" w:tentative="1">
      <w:start w:val="1"/>
      <w:numFmt w:val="bullet"/>
      <w:lvlText w:val=""/>
      <w:lvlJc w:val="left"/>
      <w:pPr>
        <w:ind w:left="2880" w:hanging="360"/>
      </w:pPr>
      <w:rPr>
        <w:rFonts w:ascii="Symbol" w:hAnsi="Symbol" w:hint="default"/>
      </w:rPr>
    </w:lvl>
    <w:lvl w:ilvl="4" w:tplc="5E2E9796" w:tentative="1">
      <w:start w:val="1"/>
      <w:numFmt w:val="bullet"/>
      <w:lvlText w:val="o"/>
      <w:lvlJc w:val="left"/>
      <w:pPr>
        <w:ind w:left="3600" w:hanging="360"/>
      </w:pPr>
      <w:rPr>
        <w:rFonts w:ascii="Courier New" w:hAnsi="Courier New" w:cs="Courier New" w:hint="default"/>
      </w:rPr>
    </w:lvl>
    <w:lvl w:ilvl="5" w:tplc="CEECDA78" w:tentative="1">
      <w:start w:val="1"/>
      <w:numFmt w:val="bullet"/>
      <w:lvlText w:val=""/>
      <w:lvlJc w:val="left"/>
      <w:pPr>
        <w:ind w:left="4320" w:hanging="360"/>
      </w:pPr>
      <w:rPr>
        <w:rFonts w:ascii="Wingdings" w:hAnsi="Wingdings" w:hint="default"/>
      </w:rPr>
    </w:lvl>
    <w:lvl w:ilvl="6" w:tplc="B6461142" w:tentative="1">
      <w:start w:val="1"/>
      <w:numFmt w:val="bullet"/>
      <w:lvlText w:val=""/>
      <w:lvlJc w:val="left"/>
      <w:pPr>
        <w:ind w:left="5040" w:hanging="360"/>
      </w:pPr>
      <w:rPr>
        <w:rFonts w:ascii="Symbol" w:hAnsi="Symbol" w:hint="default"/>
      </w:rPr>
    </w:lvl>
    <w:lvl w:ilvl="7" w:tplc="8334D6A0" w:tentative="1">
      <w:start w:val="1"/>
      <w:numFmt w:val="bullet"/>
      <w:lvlText w:val="o"/>
      <w:lvlJc w:val="left"/>
      <w:pPr>
        <w:ind w:left="5760" w:hanging="360"/>
      </w:pPr>
      <w:rPr>
        <w:rFonts w:ascii="Courier New" w:hAnsi="Courier New" w:cs="Courier New" w:hint="default"/>
      </w:rPr>
    </w:lvl>
    <w:lvl w:ilvl="8" w:tplc="403A5DEC" w:tentative="1">
      <w:start w:val="1"/>
      <w:numFmt w:val="bullet"/>
      <w:lvlText w:val=""/>
      <w:lvlJc w:val="left"/>
      <w:pPr>
        <w:ind w:left="6480" w:hanging="360"/>
      </w:pPr>
      <w:rPr>
        <w:rFonts w:ascii="Wingdings" w:hAnsi="Wingdings" w:hint="default"/>
      </w:rPr>
    </w:lvl>
  </w:abstractNum>
  <w:abstractNum w:abstractNumId="1" w15:restartNumberingAfterBreak="0">
    <w:nsid w:val="1568599D"/>
    <w:multiLevelType w:val="multilevel"/>
    <w:tmpl w:val="B13CDD56"/>
    <w:numStyleLink w:val="BulletedList"/>
  </w:abstractNum>
  <w:abstractNum w:abstractNumId="2" w15:restartNumberingAfterBreak="0">
    <w:nsid w:val="1A270686"/>
    <w:multiLevelType w:val="hybridMultilevel"/>
    <w:tmpl w:val="409AC006"/>
    <w:lvl w:ilvl="0" w:tplc="1D1075EA">
      <w:start w:val="1"/>
      <w:numFmt w:val="bullet"/>
      <w:pStyle w:val="Checkbox"/>
      <w:lvlText w:val=""/>
      <w:lvlJc w:val="left"/>
      <w:pPr>
        <w:ind w:left="540" w:hanging="360"/>
      </w:pPr>
      <w:rPr>
        <w:rFonts w:ascii="Wingdings" w:hAnsi="Wingdings" w:hint="default"/>
        <w:color w:val="5083C9"/>
        <w:sz w:val="28"/>
      </w:rPr>
    </w:lvl>
    <w:lvl w:ilvl="1" w:tplc="2344362E">
      <w:start w:val="1"/>
      <w:numFmt w:val="bullet"/>
      <w:lvlText w:val="o"/>
      <w:lvlJc w:val="left"/>
      <w:pPr>
        <w:ind w:left="1440" w:hanging="360"/>
      </w:pPr>
      <w:rPr>
        <w:rFonts w:ascii="Courier New" w:hAnsi="Courier New" w:cs="Courier New" w:hint="default"/>
      </w:rPr>
    </w:lvl>
    <w:lvl w:ilvl="2" w:tplc="112039EA" w:tentative="1">
      <w:start w:val="1"/>
      <w:numFmt w:val="bullet"/>
      <w:lvlText w:val=""/>
      <w:lvlJc w:val="left"/>
      <w:pPr>
        <w:ind w:left="2160" w:hanging="360"/>
      </w:pPr>
      <w:rPr>
        <w:rFonts w:ascii="Wingdings" w:hAnsi="Wingdings" w:hint="default"/>
      </w:rPr>
    </w:lvl>
    <w:lvl w:ilvl="3" w:tplc="1F683A7E" w:tentative="1">
      <w:start w:val="1"/>
      <w:numFmt w:val="bullet"/>
      <w:lvlText w:val=""/>
      <w:lvlJc w:val="left"/>
      <w:pPr>
        <w:ind w:left="2880" w:hanging="360"/>
      </w:pPr>
      <w:rPr>
        <w:rFonts w:ascii="Symbol" w:hAnsi="Symbol" w:hint="default"/>
      </w:rPr>
    </w:lvl>
    <w:lvl w:ilvl="4" w:tplc="7D1AECDA" w:tentative="1">
      <w:start w:val="1"/>
      <w:numFmt w:val="bullet"/>
      <w:lvlText w:val="o"/>
      <w:lvlJc w:val="left"/>
      <w:pPr>
        <w:ind w:left="3600" w:hanging="360"/>
      </w:pPr>
      <w:rPr>
        <w:rFonts w:ascii="Courier New" w:hAnsi="Courier New" w:cs="Courier New" w:hint="default"/>
      </w:rPr>
    </w:lvl>
    <w:lvl w:ilvl="5" w:tplc="0F7AFD5E" w:tentative="1">
      <w:start w:val="1"/>
      <w:numFmt w:val="bullet"/>
      <w:lvlText w:val=""/>
      <w:lvlJc w:val="left"/>
      <w:pPr>
        <w:ind w:left="4320" w:hanging="360"/>
      </w:pPr>
      <w:rPr>
        <w:rFonts w:ascii="Wingdings" w:hAnsi="Wingdings" w:hint="default"/>
      </w:rPr>
    </w:lvl>
    <w:lvl w:ilvl="6" w:tplc="C8C029F0" w:tentative="1">
      <w:start w:val="1"/>
      <w:numFmt w:val="bullet"/>
      <w:lvlText w:val=""/>
      <w:lvlJc w:val="left"/>
      <w:pPr>
        <w:ind w:left="5040" w:hanging="360"/>
      </w:pPr>
      <w:rPr>
        <w:rFonts w:ascii="Symbol" w:hAnsi="Symbol" w:hint="default"/>
      </w:rPr>
    </w:lvl>
    <w:lvl w:ilvl="7" w:tplc="59AC8B12" w:tentative="1">
      <w:start w:val="1"/>
      <w:numFmt w:val="bullet"/>
      <w:lvlText w:val="o"/>
      <w:lvlJc w:val="left"/>
      <w:pPr>
        <w:ind w:left="5760" w:hanging="360"/>
      </w:pPr>
      <w:rPr>
        <w:rFonts w:ascii="Courier New" w:hAnsi="Courier New" w:cs="Courier New" w:hint="default"/>
      </w:rPr>
    </w:lvl>
    <w:lvl w:ilvl="8" w:tplc="DCA8DD94" w:tentative="1">
      <w:start w:val="1"/>
      <w:numFmt w:val="bullet"/>
      <w:lvlText w:val=""/>
      <w:lvlJc w:val="left"/>
      <w:pPr>
        <w:ind w:left="6480" w:hanging="360"/>
      </w:pPr>
      <w:rPr>
        <w:rFonts w:ascii="Wingdings" w:hAnsi="Wingdings" w:hint="default"/>
      </w:rPr>
    </w:lvl>
  </w:abstractNum>
  <w:abstractNum w:abstractNumId="3"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7C3E30"/>
    <w:multiLevelType w:val="hybridMultilevel"/>
    <w:tmpl w:val="DCE623FE"/>
    <w:lvl w:ilvl="0" w:tplc="5352C6D8">
      <w:start w:val="1"/>
      <w:numFmt w:val="bullet"/>
      <w:pStyle w:val="Bullet"/>
      <w:lvlText w:val=""/>
      <w:lvlJc w:val="left"/>
      <w:pPr>
        <w:ind w:left="720" w:hanging="360"/>
      </w:pPr>
      <w:rPr>
        <w:rFonts w:ascii="Symbol" w:hAnsi="Symbol" w:hint="default"/>
        <w:color w:val="5083C9"/>
      </w:rPr>
    </w:lvl>
    <w:lvl w:ilvl="1" w:tplc="EAA2D4F2">
      <w:start w:val="1"/>
      <w:numFmt w:val="bullet"/>
      <w:lvlText w:val="o"/>
      <w:lvlJc w:val="left"/>
      <w:pPr>
        <w:ind w:left="1440" w:hanging="360"/>
      </w:pPr>
      <w:rPr>
        <w:rFonts w:ascii="Courier New" w:hAnsi="Courier New" w:cs="Courier New" w:hint="default"/>
      </w:rPr>
    </w:lvl>
    <w:lvl w:ilvl="2" w:tplc="C974FDEC">
      <w:start w:val="1"/>
      <w:numFmt w:val="bullet"/>
      <w:lvlText w:val=""/>
      <w:lvlJc w:val="left"/>
      <w:pPr>
        <w:ind w:left="2160" w:hanging="360"/>
      </w:pPr>
      <w:rPr>
        <w:rFonts w:ascii="Wingdings" w:hAnsi="Wingdings" w:hint="default"/>
      </w:rPr>
    </w:lvl>
    <w:lvl w:ilvl="3" w:tplc="0156A1B2" w:tentative="1">
      <w:start w:val="1"/>
      <w:numFmt w:val="bullet"/>
      <w:lvlText w:val=""/>
      <w:lvlJc w:val="left"/>
      <w:pPr>
        <w:ind w:left="2880" w:hanging="360"/>
      </w:pPr>
      <w:rPr>
        <w:rFonts w:ascii="Symbol" w:hAnsi="Symbol" w:hint="default"/>
      </w:rPr>
    </w:lvl>
    <w:lvl w:ilvl="4" w:tplc="AD0AE150" w:tentative="1">
      <w:start w:val="1"/>
      <w:numFmt w:val="bullet"/>
      <w:lvlText w:val="o"/>
      <w:lvlJc w:val="left"/>
      <w:pPr>
        <w:ind w:left="3600" w:hanging="360"/>
      </w:pPr>
      <w:rPr>
        <w:rFonts w:ascii="Courier New" w:hAnsi="Courier New" w:cs="Courier New" w:hint="default"/>
      </w:rPr>
    </w:lvl>
    <w:lvl w:ilvl="5" w:tplc="582289D8" w:tentative="1">
      <w:start w:val="1"/>
      <w:numFmt w:val="bullet"/>
      <w:lvlText w:val=""/>
      <w:lvlJc w:val="left"/>
      <w:pPr>
        <w:ind w:left="4320" w:hanging="360"/>
      </w:pPr>
      <w:rPr>
        <w:rFonts w:ascii="Wingdings" w:hAnsi="Wingdings" w:hint="default"/>
      </w:rPr>
    </w:lvl>
    <w:lvl w:ilvl="6" w:tplc="AA3A11B8" w:tentative="1">
      <w:start w:val="1"/>
      <w:numFmt w:val="bullet"/>
      <w:lvlText w:val=""/>
      <w:lvlJc w:val="left"/>
      <w:pPr>
        <w:ind w:left="5040" w:hanging="360"/>
      </w:pPr>
      <w:rPr>
        <w:rFonts w:ascii="Symbol" w:hAnsi="Symbol" w:hint="default"/>
      </w:rPr>
    </w:lvl>
    <w:lvl w:ilvl="7" w:tplc="2C703D5A" w:tentative="1">
      <w:start w:val="1"/>
      <w:numFmt w:val="bullet"/>
      <w:lvlText w:val="o"/>
      <w:lvlJc w:val="left"/>
      <w:pPr>
        <w:ind w:left="5760" w:hanging="360"/>
      </w:pPr>
      <w:rPr>
        <w:rFonts w:ascii="Courier New" w:hAnsi="Courier New" w:cs="Courier New" w:hint="default"/>
      </w:rPr>
    </w:lvl>
    <w:lvl w:ilvl="8" w:tplc="0F7095EC" w:tentative="1">
      <w:start w:val="1"/>
      <w:numFmt w:val="bullet"/>
      <w:lvlText w:val=""/>
      <w:lvlJc w:val="left"/>
      <w:pPr>
        <w:ind w:left="6480" w:hanging="360"/>
      </w:pPr>
      <w:rPr>
        <w:rFonts w:ascii="Wingdings" w:hAnsi="Wingdings" w:hint="default"/>
      </w:rPr>
    </w:lvl>
  </w:abstractNum>
  <w:abstractNum w:abstractNumId="5" w15:restartNumberingAfterBreak="0">
    <w:nsid w:val="49D40F3B"/>
    <w:multiLevelType w:val="multilevel"/>
    <w:tmpl w:val="B13CDD56"/>
    <w:numStyleLink w:val="BulletedList"/>
  </w:abstractNum>
  <w:abstractNum w:abstractNumId="6" w15:restartNumberingAfterBreak="0">
    <w:nsid w:val="4C8601A1"/>
    <w:multiLevelType w:val="hybridMultilevel"/>
    <w:tmpl w:val="43CE94D6"/>
    <w:lvl w:ilvl="0" w:tplc="57EE97E0">
      <w:start w:val="1"/>
      <w:numFmt w:val="bullet"/>
      <w:lvlText w:val=""/>
      <w:lvlJc w:val="left"/>
      <w:pPr>
        <w:ind w:left="720" w:hanging="360"/>
      </w:pPr>
      <w:rPr>
        <w:rFonts w:ascii="Symbol" w:hAnsi="Symbol" w:hint="default"/>
      </w:rPr>
    </w:lvl>
    <w:lvl w:ilvl="1" w:tplc="F17E0AC6">
      <w:start w:val="1"/>
      <w:numFmt w:val="bullet"/>
      <w:lvlText w:val="o"/>
      <w:lvlJc w:val="left"/>
      <w:pPr>
        <w:ind w:left="1440" w:hanging="360"/>
      </w:pPr>
      <w:rPr>
        <w:rFonts w:ascii="Courier New" w:hAnsi="Courier New" w:hint="default"/>
      </w:rPr>
    </w:lvl>
    <w:lvl w:ilvl="2" w:tplc="BBF2D820" w:tentative="1">
      <w:start w:val="1"/>
      <w:numFmt w:val="bullet"/>
      <w:lvlText w:val=""/>
      <w:lvlJc w:val="left"/>
      <w:pPr>
        <w:ind w:left="2160" w:hanging="360"/>
      </w:pPr>
      <w:rPr>
        <w:rFonts w:ascii="Wingdings" w:hAnsi="Wingdings" w:hint="default"/>
      </w:rPr>
    </w:lvl>
    <w:lvl w:ilvl="3" w:tplc="BFE8C164" w:tentative="1">
      <w:start w:val="1"/>
      <w:numFmt w:val="bullet"/>
      <w:lvlText w:val=""/>
      <w:lvlJc w:val="left"/>
      <w:pPr>
        <w:ind w:left="2880" w:hanging="360"/>
      </w:pPr>
      <w:rPr>
        <w:rFonts w:ascii="Symbol" w:hAnsi="Symbol" w:hint="default"/>
      </w:rPr>
    </w:lvl>
    <w:lvl w:ilvl="4" w:tplc="AF20E0FA" w:tentative="1">
      <w:start w:val="1"/>
      <w:numFmt w:val="bullet"/>
      <w:lvlText w:val="o"/>
      <w:lvlJc w:val="left"/>
      <w:pPr>
        <w:ind w:left="3600" w:hanging="360"/>
      </w:pPr>
      <w:rPr>
        <w:rFonts w:ascii="Courier New" w:hAnsi="Courier New" w:cs="Courier New" w:hint="default"/>
      </w:rPr>
    </w:lvl>
    <w:lvl w:ilvl="5" w:tplc="9774E8C8" w:tentative="1">
      <w:start w:val="1"/>
      <w:numFmt w:val="bullet"/>
      <w:lvlText w:val=""/>
      <w:lvlJc w:val="left"/>
      <w:pPr>
        <w:ind w:left="4320" w:hanging="360"/>
      </w:pPr>
      <w:rPr>
        <w:rFonts w:ascii="Wingdings" w:hAnsi="Wingdings" w:hint="default"/>
      </w:rPr>
    </w:lvl>
    <w:lvl w:ilvl="6" w:tplc="C312FCBE" w:tentative="1">
      <w:start w:val="1"/>
      <w:numFmt w:val="bullet"/>
      <w:lvlText w:val=""/>
      <w:lvlJc w:val="left"/>
      <w:pPr>
        <w:ind w:left="5040" w:hanging="360"/>
      </w:pPr>
      <w:rPr>
        <w:rFonts w:ascii="Symbol" w:hAnsi="Symbol" w:hint="default"/>
      </w:rPr>
    </w:lvl>
    <w:lvl w:ilvl="7" w:tplc="C8669482" w:tentative="1">
      <w:start w:val="1"/>
      <w:numFmt w:val="bullet"/>
      <w:lvlText w:val="o"/>
      <w:lvlJc w:val="left"/>
      <w:pPr>
        <w:ind w:left="5760" w:hanging="360"/>
      </w:pPr>
      <w:rPr>
        <w:rFonts w:ascii="Courier New" w:hAnsi="Courier New" w:cs="Courier New" w:hint="default"/>
      </w:rPr>
    </w:lvl>
    <w:lvl w:ilvl="8" w:tplc="A3C09782" w:tentative="1">
      <w:start w:val="1"/>
      <w:numFmt w:val="bullet"/>
      <w:lvlText w:val=""/>
      <w:lvlJc w:val="left"/>
      <w:pPr>
        <w:ind w:left="6480" w:hanging="360"/>
      </w:pPr>
      <w:rPr>
        <w:rFonts w:ascii="Wingdings" w:hAnsi="Wingdings" w:hint="default"/>
      </w:rPr>
    </w:lvl>
  </w:abstractNum>
  <w:abstractNum w:abstractNumId="7" w15:restartNumberingAfterBreak="0">
    <w:nsid w:val="4E624744"/>
    <w:multiLevelType w:val="hybridMultilevel"/>
    <w:tmpl w:val="D67CDEAC"/>
    <w:lvl w:ilvl="0" w:tplc="1F9E3CC0">
      <w:start w:val="1"/>
      <w:numFmt w:val="bullet"/>
      <w:pStyle w:val="Xbox"/>
      <w:lvlText w:val=""/>
      <w:lvlJc w:val="left"/>
      <w:pPr>
        <w:ind w:left="540" w:hanging="360"/>
      </w:pPr>
      <w:rPr>
        <w:rFonts w:ascii="Wingdings" w:hAnsi="Wingdings" w:hint="default"/>
        <w:color w:val="BD6363"/>
        <w:sz w:val="28"/>
      </w:rPr>
    </w:lvl>
    <w:lvl w:ilvl="1" w:tplc="10C46C0C">
      <w:start w:val="1"/>
      <w:numFmt w:val="bullet"/>
      <w:lvlText w:val="o"/>
      <w:lvlJc w:val="left"/>
      <w:pPr>
        <w:ind w:left="1440" w:hanging="360"/>
      </w:pPr>
      <w:rPr>
        <w:rFonts w:ascii="Courier New" w:hAnsi="Courier New" w:cs="Courier New" w:hint="default"/>
      </w:rPr>
    </w:lvl>
    <w:lvl w:ilvl="2" w:tplc="94864018" w:tentative="1">
      <w:start w:val="1"/>
      <w:numFmt w:val="bullet"/>
      <w:lvlText w:val=""/>
      <w:lvlJc w:val="left"/>
      <w:pPr>
        <w:ind w:left="2160" w:hanging="360"/>
      </w:pPr>
      <w:rPr>
        <w:rFonts w:ascii="Wingdings" w:hAnsi="Wingdings" w:hint="default"/>
      </w:rPr>
    </w:lvl>
    <w:lvl w:ilvl="3" w:tplc="6074A1F8" w:tentative="1">
      <w:start w:val="1"/>
      <w:numFmt w:val="bullet"/>
      <w:lvlText w:val=""/>
      <w:lvlJc w:val="left"/>
      <w:pPr>
        <w:ind w:left="2880" w:hanging="360"/>
      </w:pPr>
      <w:rPr>
        <w:rFonts w:ascii="Symbol" w:hAnsi="Symbol" w:hint="default"/>
      </w:rPr>
    </w:lvl>
    <w:lvl w:ilvl="4" w:tplc="59C8E51E" w:tentative="1">
      <w:start w:val="1"/>
      <w:numFmt w:val="bullet"/>
      <w:lvlText w:val="o"/>
      <w:lvlJc w:val="left"/>
      <w:pPr>
        <w:ind w:left="3600" w:hanging="360"/>
      </w:pPr>
      <w:rPr>
        <w:rFonts w:ascii="Courier New" w:hAnsi="Courier New" w:cs="Courier New" w:hint="default"/>
      </w:rPr>
    </w:lvl>
    <w:lvl w:ilvl="5" w:tplc="60C4D500" w:tentative="1">
      <w:start w:val="1"/>
      <w:numFmt w:val="bullet"/>
      <w:lvlText w:val=""/>
      <w:lvlJc w:val="left"/>
      <w:pPr>
        <w:ind w:left="4320" w:hanging="360"/>
      </w:pPr>
      <w:rPr>
        <w:rFonts w:ascii="Wingdings" w:hAnsi="Wingdings" w:hint="default"/>
      </w:rPr>
    </w:lvl>
    <w:lvl w:ilvl="6" w:tplc="0D9A3B16" w:tentative="1">
      <w:start w:val="1"/>
      <w:numFmt w:val="bullet"/>
      <w:lvlText w:val=""/>
      <w:lvlJc w:val="left"/>
      <w:pPr>
        <w:ind w:left="5040" w:hanging="360"/>
      </w:pPr>
      <w:rPr>
        <w:rFonts w:ascii="Symbol" w:hAnsi="Symbol" w:hint="default"/>
      </w:rPr>
    </w:lvl>
    <w:lvl w:ilvl="7" w:tplc="1D9C3690" w:tentative="1">
      <w:start w:val="1"/>
      <w:numFmt w:val="bullet"/>
      <w:lvlText w:val="o"/>
      <w:lvlJc w:val="left"/>
      <w:pPr>
        <w:ind w:left="5760" w:hanging="360"/>
      </w:pPr>
      <w:rPr>
        <w:rFonts w:ascii="Courier New" w:hAnsi="Courier New" w:cs="Courier New" w:hint="default"/>
      </w:rPr>
    </w:lvl>
    <w:lvl w:ilvl="8" w:tplc="7BE2322C" w:tentative="1">
      <w:start w:val="1"/>
      <w:numFmt w:val="bullet"/>
      <w:lvlText w:val=""/>
      <w:lvlJc w:val="left"/>
      <w:pPr>
        <w:ind w:left="6480" w:hanging="360"/>
      </w:pPr>
      <w:rPr>
        <w:rFonts w:ascii="Wingdings" w:hAnsi="Wingdings" w:hint="default"/>
      </w:rPr>
    </w:lvl>
  </w:abstractNum>
  <w:abstractNum w:abstractNumId="8" w15:restartNumberingAfterBreak="0">
    <w:nsid w:val="532E5207"/>
    <w:multiLevelType w:val="multilevel"/>
    <w:tmpl w:val="B13CDD56"/>
    <w:numStyleLink w:val="BulletedList"/>
  </w:abstractNum>
  <w:abstractNum w:abstractNumId="9" w15:restartNumberingAfterBreak="0">
    <w:nsid w:val="730B4ECD"/>
    <w:multiLevelType w:val="hybridMultilevel"/>
    <w:tmpl w:val="6C406044"/>
    <w:lvl w:ilvl="0" w:tplc="ED9E7286">
      <w:start w:val="1"/>
      <w:numFmt w:val="bullet"/>
      <w:pStyle w:val="BulletlistHighlight"/>
      <w:lvlText w:val=""/>
      <w:lvlJc w:val="left"/>
      <w:pPr>
        <w:ind w:left="288" w:hanging="288"/>
      </w:pPr>
      <w:rPr>
        <w:rFonts w:ascii="Symbol" w:hAnsi="Symbol" w:hint="default"/>
      </w:rPr>
    </w:lvl>
    <w:lvl w:ilvl="1" w:tplc="06D2E862">
      <w:start w:val="1"/>
      <w:numFmt w:val="bullet"/>
      <w:lvlText w:val="o"/>
      <w:lvlJc w:val="left"/>
      <w:pPr>
        <w:ind w:left="576" w:hanging="216"/>
      </w:pPr>
      <w:rPr>
        <w:rFonts w:ascii="Courier New" w:hAnsi="Courier New" w:hint="default"/>
      </w:rPr>
    </w:lvl>
    <w:lvl w:ilvl="2" w:tplc="872AF1D0">
      <w:start w:val="1"/>
      <w:numFmt w:val="bullet"/>
      <w:lvlText w:val=""/>
      <w:lvlJc w:val="left"/>
      <w:pPr>
        <w:ind w:left="864" w:hanging="216"/>
      </w:pPr>
      <w:rPr>
        <w:rFonts w:ascii="Wingdings" w:hAnsi="Wingdings" w:hint="default"/>
      </w:rPr>
    </w:lvl>
    <w:lvl w:ilvl="3" w:tplc="4B60FE7C" w:tentative="1">
      <w:start w:val="1"/>
      <w:numFmt w:val="bullet"/>
      <w:lvlText w:val=""/>
      <w:lvlJc w:val="left"/>
      <w:pPr>
        <w:ind w:left="2880" w:hanging="360"/>
      </w:pPr>
      <w:rPr>
        <w:rFonts w:ascii="Symbol" w:hAnsi="Symbol" w:hint="default"/>
      </w:rPr>
    </w:lvl>
    <w:lvl w:ilvl="4" w:tplc="9642CCD2" w:tentative="1">
      <w:start w:val="1"/>
      <w:numFmt w:val="bullet"/>
      <w:lvlText w:val="o"/>
      <w:lvlJc w:val="left"/>
      <w:pPr>
        <w:ind w:left="3600" w:hanging="360"/>
      </w:pPr>
      <w:rPr>
        <w:rFonts w:ascii="Courier New" w:hAnsi="Courier New" w:cs="Courier New" w:hint="default"/>
      </w:rPr>
    </w:lvl>
    <w:lvl w:ilvl="5" w:tplc="1A768650" w:tentative="1">
      <w:start w:val="1"/>
      <w:numFmt w:val="bullet"/>
      <w:lvlText w:val=""/>
      <w:lvlJc w:val="left"/>
      <w:pPr>
        <w:ind w:left="4320" w:hanging="360"/>
      </w:pPr>
      <w:rPr>
        <w:rFonts w:ascii="Wingdings" w:hAnsi="Wingdings" w:hint="default"/>
      </w:rPr>
    </w:lvl>
    <w:lvl w:ilvl="6" w:tplc="50285E48" w:tentative="1">
      <w:start w:val="1"/>
      <w:numFmt w:val="bullet"/>
      <w:lvlText w:val=""/>
      <w:lvlJc w:val="left"/>
      <w:pPr>
        <w:ind w:left="5040" w:hanging="360"/>
      </w:pPr>
      <w:rPr>
        <w:rFonts w:ascii="Symbol" w:hAnsi="Symbol" w:hint="default"/>
      </w:rPr>
    </w:lvl>
    <w:lvl w:ilvl="7" w:tplc="81F61F0E" w:tentative="1">
      <w:start w:val="1"/>
      <w:numFmt w:val="bullet"/>
      <w:lvlText w:val="o"/>
      <w:lvlJc w:val="left"/>
      <w:pPr>
        <w:ind w:left="5760" w:hanging="360"/>
      </w:pPr>
      <w:rPr>
        <w:rFonts w:ascii="Courier New" w:hAnsi="Courier New" w:cs="Courier New" w:hint="default"/>
      </w:rPr>
    </w:lvl>
    <w:lvl w:ilvl="8" w:tplc="DB96941A" w:tentative="1">
      <w:start w:val="1"/>
      <w:numFmt w:val="bullet"/>
      <w:lvlText w:val=""/>
      <w:lvlJc w:val="left"/>
      <w:pPr>
        <w:ind w:left="6480" w:hanging="360"/>
      </w:pPr>
      <w:rPr>
        <w:rFonts w:ascii="Wingdings" w:hAnsi="Wingdings" w:hint="default"/>
      </w:rPr>
    </w:lvl>
  </w:abstractNum>
  <w:abstractNum w:abstractNumId="10" w15:restartNumberingAfterBreak="0">
    <w:nsid w:val="772F0980"/>
    <w:multiLevelType w:val="multilevel"/>
    <w:tmpl w:val="0409001D"/>
    <w:styleLink w:val="Style3"/>
    <w:lvl w:ilvl="0">
      <w:start w:val="1"/>
      <w:numFmt w:val="bullet"/>
      <w:pStyle w:val="Checkmark"/>
      <w:lvlText w:val=""/>
      <w:lvlPicBulletId w:val="0"/>
      <w:lvlJc w:val="left"/>
      <w:pPr>
        <w:ind w:left="360" w:hanging="360"/>
      </w:pPr>
      <w:rPr>
        <w:rFonts w:ascii="Symbol" w:hAnsi="Symbol" w:hint="default"/>
        <w:color w:val="auto"/>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6"/>
  </w:num>
  <w:num w:numId="3">
    <w:abstractNumId w:val="2"/>
  </w:num>
  <w:num w:numId="4">
    <w:abstractNumId w:val="7"/>
  </w:num>
  <w:num w:numId="5">
    <w:abstractNumId w:val="9"/>
  </w:num>
  <w:num w:numId="6">
    <w:abstractNumId w:val="3"/>
  </w:num>
  <w:num w:numId="7">
    <w:abstractNumId w:val="1"/>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04"/>
    <w:rsid w:val="000847AD"/>
    <w:rsid w:val="00090473"/>
    <w:rsid w:val="0012162D"/>
    <w:rsid w:val="001327E9"/>
    <w:rsid w:val="0016683E"/>
    <w:rsid w:val="00171781"/>
    <w:rsid w:val="001725D9"/>
    <w:rsid w:val="0019038E"/>
    <w:rsid w:val="00197A9E"/>
    <w:rsid w:val="001B0FFB"/>
    <w:rsid w:val="001B1A7E"/>
    <w:rsid w:val="001B5774"/>
    <w:rsid w:val="00235733"/>
    <w:rsid w:val="0024208C"/>
    <w:rsid w:val="0026000D"/>
    <w:rsid w:val="00282C22"/>
    <w:rsid w:val="002E70AE"/>
    <w:rsid w:val="002F02F6"/>
    <w:rsid w:val="003243B0"/>
    <w:rsid w:val="003267EB"/>
    <w:rsid w:val="003416FF"/>
    <w:rsid w:val="0035530B"/>
    <w:rsid w:val="00374181"/>
    <w:rsid w:val="0037553A"/>
    <w:rsid w:val="00377AA8"/>
    <w:rsid w:val="00384EDB"/>
    <w:rsid w:val="003A6B72"/>
    <w:rsid w:val="003C10A8"/>
    <w:rsid w:val="00441851"/>
    <w:rsid w:val="00484002"/>
    <w:rsid w:val="00485C3A"/>
    <w:rsid w:val="004967FA"/>
    <w:rsid w:val="004A65E6"/>
    <w:rsid w:val="004B125C"/>
    <w:rsid w:val="004B243F"/>
    <w:rsid w:val="004F3C17"/>
    <w:rsid w:val="00526C74"/>
    <w:rsid w:val="005332E3"/>
    <w:rsid w:val="00534014"/>
    <w:rsid w:val="005806E6"/>
    <w:rsid w:val="00584B55"/>
    <w:rsid w:val="005A473B"/>
    <w:rsid w:val="005A5BCC"/>
    <w:rsid w:val="005D05D9"/>
    <w:rsid w:val="005E4D2F"/>
    <w:rsid w:val="005E5147"/>
    <w:rsid w:val="00631EA6"/>
    <w:rsid w:val="00677DD4"/>
    <w:rsid w:val="006A4CCA"/>
    <w:rsid w:val="006B2E3A"/>
    <w:rsid w:val="006B6E86"/>
    <w:rsid w:val="006D0148"/>
    <w:rsid w:val="006E3B62"/>
    <w:rsid w:val="00707343"/>
    <w:rsid w:val="00731A58"/>
    <w:rsid w:val="00802FF0"/>
    <w:rsid w:val="0081104B"/>
    <w:rsid w:val="00817EEE"/>
    <w:rsid w:val="008254B5"/>
    <w:rsid w:val="00826394"/>
    <w:rsid w:val="00842F04"/>
    <w:rsid w:val="00844896"/>
    <w:rsid w:val="0084543D"/>
    <w:rsid w:val="008A7E71"/>
    <w:rsid w:val="008C01A9"/>
    <w:rsid w:val="008C3FE0"/>
    <w:rsid w:val="008C4D53"/>
    <w:rsid w:val="008C539C"/>
    <w:rsid w:val="008E01AA"/>
    <w:rsid w:val="008E28A2"/>
    <w:rsid w:val="008F109D"/>
    <w:rsid w:val="008F7B15"/>
    <w:rsid w:val="00926535"/>
    <w:rsid w:val="00947E11"/>
    <w:rsid w:val="00957814"/>
    <w:rsid w:val="0098636D"/>
    <w:rsid w:val="00993033"/>
    <w:rsid w:val="009A663E"/>
    <w:rsid w:val="009D4BB6"/>
    <w:rsid w:val="009E4DC9"/>
    <w:rsid w:val="009F3CA3"/>
    <w:rsid w:val="00A337BD"/>
    <w:rsid w:val="00A357CD"/>
    <w:rsid w:val="00A46068"/>
    <w:rsid w:val="00A47C53"/>
    <w:rsid w:val="00A62BE1"/>
    <w:rsid w:val="00A83C9F"/>
    <w:rsid w:val="00A95ADA"/>
    <w:rsid w:val="00AD0649"/>
    <w:rsid w:val="00AD50F3"/>
    <w:rsid w:val="00B27C10"/>
    <w:rsid w:val="00B34A25"/>
    <w:rsid w:val="00B727AD"/>
    <w:rsid w:val="00BC32B1"/>
    <w:rsid w:val="00C73DB9"/>
    <w:rsid w:val="00C84C66"/>
    <w:rsid w:val="00C87E2E"/>
    <w:rsid w:val="00C9359B"/>
    <w:rsid w:val="00CB6777"/>
    <w:rsid w:val="00CF5E21"/>
    <w:rsid w:val="00D379D5"/>
    <w:rsid w:val="00D76FCB"/>
    <w:rsid w:val="00D8467E"/>
    <w:rsid w:val="00DB123E"/>
    <w:rsid w:val="00DC3880"/>
    <w:rsid w:val="00E16E6C"/>
    <w:rsid w:val="00E16FF3"/>
    <w:rsid w:val="00E6115F"/>
    <w:rsid w:val="00EA2BB6"/>
    <w:rsid w:val="00EC1229"/>
    <w:rsid w:val="00EC2053"/>
    <w:rsid w:val="00EF5623"/>
    <w:rsid w:val="00EF7BE8"/>
    <w:rsid w:val="00F021E9"/>
    <w:rsid w:val="00F745BF"/>
    <w:rsid w:val="00FA26DC"/>
    <w:rsid w:val="00FB3448"/>
    <w:rsid w:val="00FD2D1B"/>
    <w:rsid w:val="00FD61EC"/>
    <w:rsid w:val="00FD7DA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FE9BC7"/>
  <w15:chartTrackingRefBased/>
  <w15:docId w15:val="{838AF5AF-BF86-40F4-A640-56B21D4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8A7E71"/>
    <w:pPr>
      <w:spacing w:after="120" w:line="228" w:lineRule="auto"/>
    </w:pPr>
    <w:rPr>
      <w:b/>
      <w:color w:val="5083C9"/>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8A7E71"/>
    <w:rPr>
      <w:b/>
      <w:color w:val="5083C9"/>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B727AD"/>
    <w:pPr>
      <w:spacing w:after="60"/>
    </w:pPr>
  </w:style>
  <w:style w:type="paragraph" w:customStyle="1" w:styleId="Checkbox">
    <w:name w:val="Checkbox"/>
    <w:basedOn w:val="BulletList"/>
    <w:link w:val="CheckboxChar"/>
    <w:qFormat/>
    <w:rsid w:val="00E16E6C"/>
    <w:pPr>
      <w:numPr>
        <w:numId w:val="3"/>
      </w:numPr>
      <w:tabs>
        <w:tab w:val="left" w:pos="540"/>
      </w:tabs>
      <w:ind w:hanging="450"/>
    </w:pPr>
  </w:style>
  <w:style w:type="character" w:customStyle="1" w:styleId="BulletListChar">
    <w:name w:val="Bullet List Char"/>
    <w:basedOn w:val="BodyTextChar"/>
    <w:link w:val="BulletList"/>
    <w:rsid w:val="00B727AD"/>
    <w:rPr>
      <w:rFonts w:ascii="Calibri" w:eastAsia="Times New Roman" w:hAnsi="Calibri" w:cs="Arial"/>
      <w:color w:val="595959"/>
      <w:szCs w:val="20"/>
    </w:rPr>
  </w:style>
  <w:style w:type="paragraph" w:customStyle="1" w:styleId="Xbox">
    <w:name w:val="Xbox"/>
    <w:basedOn w:val="Checkbox"/>
    <w:link w:val="XboxChar"/>
    <w:qFormat/>
    <w:rsid w:val="00E16E6C"/>
    <w:pPr>
      <w:numPr>
        <w:numId w:val="4"/>
      </w:numPr>
      <w:ind w:hanging="450"/>
    </w:pPr>
  </w:style>
  <w:style w:type="character" w:customStyle="1" w:styleId="CheckboxChar">
    <w:name w:val="Checkbox Char"/>
    <w:basedOn w:val="BulletListChar"/>
    <w:link w:val="Checkbox"/>
    <w:rsid w:val="00E16E6C"/>
    <w:rPr>
      <w:rFonts w:ascii="Calibri" w:eastAsia="Times New Roman" w:hAnsi="Calibri" w:cs="Arial"/>
      <w:color w:val="595959"/>
      <w:szCs w:val="20"/>
    </w:rPr>
  </w:style>
  <w:style w:type="paragraph" w:customStyle="1" w:styleId="CallOutBox">
    <w:name w:val="Call Out Box"/>
    <w:basedOn w:val="Footer"/>
    <w:link w:val="CallOutBoxChar"/>
    <w:qFormat/>
    <w:rsid w:val="00CF5E21"/>
    <w:pPr>
      <w:jc w:val="center"/>
    </w:pPr>
    <w:rPr>
      <w:b/>
      <w:i/>
      <w:color w:val="5083C9"/>
      <w:sz w:val="36"/>
      <w:szCs w:val="36"/>
    </w:rPr>
  </w:style>
  <w:style w:type="character" w:customStyle="1" w:styleId="XboxChar">
    <w:name w:val="Xbox Char"/>
    <w:basedOn w:val="CheckboxChar"/>
    <w:link w:val="Xbox"/>
    <w:rsid w:val="00E16E6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CF5E21"/>
    <w:rPr>
      <w:b/>
      <w:i/>
      <w:color w:val="5083C9"/>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8C01A9"/>
    <w:pPr>
      <w:spacing w:before="120" w:after="120" w:line="240" w:lineRule="auto"/>
    </w:pPr>
    <w:rPr>
      <w:rFonts w:ascii="Calibri" w:eastAsia="Times New Roman" w:hAnsi="Calibri" w:cs="Times New Roman"/>
      <w:b/>
      <w:caps/>
      <w:color w:val="595959"/>
      <w:sz w:val="28"/>
      <w:szCs w:val="20"/>
    </w:rPr>
  </w:style>
  <w:style w:type="character" w:customStyle="1" w:styleId="LR-HeadingChar">
    <w:name w:val="LR-Heading Char"/>
    <w:link w:val="LR-Heading"/>
    <w:rsid w:val="008C01A9"/>
    <w:rPr>
      <w:rFonts w:ascii="Calibri" w:eastAsia="Times New Roman" w:hAnsi="Calibri" w:cs="Times New Roman"/>
      <w:b/>
      <w:caps/>
      <w:color w:val="595959"/>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numbering" w:customStyle="1" w:styleId="BulletedList">
    <w:name w:val="Bulleted List"/>
    <w:uiPriority w:val="99"/>
    <w:rsid w:val="005806E6"/>
    <w:pPr>
      <w:numPr>
        <w:numId w:val="6"/>
      </w:numPr>
    </w:pPr>
  </w:style>
  <w:style w:type="paragraph" w:customStyle="1" w:styleId="Bullet">
    <w:name w:val="Bullet"/>
    <w:basedOn w:val="BodyText"/>
    <w:link w:val="BulletChar"/>
    <w:qFormat/>
    <w:rsid w:val="00731A58"/>
    <w:pPr>
      <w:numPr>
        <w:numId w:val="10"/>
      </w:numPr>
      <w:spacing w:after="0"/>
    </w:pPr>
  </w:style>
  <w:style w:type="character" w:customStyle="1" w:styleId="BulletChar">
    <w:name w:val="Bullet Char"/>
    <w:basedOn w:val="BodyTextChar"/>
    <w:link w:val="Bullet"/>
    <w:rsid w:val="00731A58"/>
    <w:rPr>
      <w:rFonts w:ascii="Calibri" w:eastAsia="Times New Roman" w:hAnsi="Calibri" w:cs="Arial"/>
      <w:color w:val="595959"/>
      <w:szCs w:val="20"/>
    </w:rPr>
  </w:style>
  <w:style w:type="character" w:styleId="UnresolvedMention">
    <w:name w:val="Unresolved Mention"/>
    <w:basedOn w:val="DefaultParagraphFont"/>
    <w:uiPriority w:val="99"/>
    <w:semiHidden/>
    <w:unhideWhenUsed/>
    <w:rsid w:val="004B243F"/>
    <w:rPr>
      <w:color w:val="605E5C"/>
      <w:shd w:val="clear" w:color="auto" w:fill="E1DFDD"/>
    </w:rPr>
  </w:style>
  <w:style w:type="paragraph" w:customStyle="1" w:styleId="Tableheading">
    <w:name w:val="Table heading"/>
    <w:basedOn w:val="Normal"/>
    <w:link w:val="TableheadingChar"/>
    <w:qFormat/>
    <w:rsid w:val="001B0FFB"/>
    <w:pPr>
      <w:spacing w:after="0" w:line="240" w:lineRule="auto"/>
      <w:jc w:val="center"/>
    </w:pPr>
    <w:rPr>
      <w:rFonts w:ascii="Calibri" w:eastAsia="Calibri" w:hAnsi="Calibri" w:cs="Times New Roman"/>
      <w:b/>
      <w:color w:val="FFFFFF"/>
      <w:sz w:val="28"/>
      <w:szCs w:val="20"/>
    </w:rPr>
  </w:style>
  <w:style w:type="character" w:customStyle="1" w:styleId="TableheadingChar">
    <w:name w:val="Table heading Char"/>
    <w:link w:val="Tableheading"/>
    <w:rsid w:val="001B0FFB"/>
    <w:rPr>
      <w:rFonts w:ascii="Calibri" w:eastAsia="Calibri" w:hAnsi="Calibri" w:cs="Times New Roman"/>
      <w:b/>
      <w:color w:val="FFFFFF"/>
      <w:sz w:val="28"/>
      <w:szCs w:val="20"/>
    </w:rPr>
  </w:style>
  <w:style w:type="paragraph" w:customStyle="1" w:styleId="Checkmark">
    <w:name w:val="Check mark"/>
    <w:basedOn w:val="ListParagraph"/>
    <w:link w:val="CheckmarkChar"/>
    <w:qFormat/>
    <w:rsid w:val="001B0FFB"/>
    <w:pPr>
      <w:numPr>
        <w:numId w:val="11"/>
      </w:numPr>
      <w:ind w:left="720"/>
      <w:contextualSpacing w:val="0"/>
    </w:pPr>
    <w:rPr>
      <w:rFonts w:ascii="Calibri" w:eastAsia="Calibri" w:hAnsi="Calibri" w:cs="Times New Roman"/>
      <w:color w:val="595959"/>
      <w:sz w:val="24"/>
      <w:szCs w:val="24"/>
    </w:rPr>
  </w:style>
  <w:style w:type="numbering" w:customStyle="1" w:styleId="Style3">
    <w:name w:val="Style3"/>
    <w:uiPriority w:val="99"/>
    <w:rsid w:val="001B0FFB"/>
    <w:pPr>
      <w:numPr>
        <w:numId w:val="11"/>
      </w:numPr>
    </w:pPr>
  </w:style>
  <w:style w:type="character" w:customStyle="1" w:styleId="CheckmarkChar">
    <w:name w:val="Check mark Char"/>
    <w:link w:val="Checkmark"/>
    <w:rsid w:val="001B0FFB"/>
    <w:rPr>
      <w:rFonts w:ascii="Calibri" w:eastAsia="Calibri" w:hAnsi="Calibri" w:cs="Times New Roman"/>
      <w:color w:val="595959"/>
      <w:sz w:val="24"/>
      <w:szCs w:val="24"/>
    </w:rPr>
  </w:style>
  <w:style w:type="paragraph" w:customStyle="1" w:styleId="Body">
    <w:name w:val="Body"/>
    <w:basedOn w:val="Normal"/>
    <w:link w:val="BodyChar"/>
    <w:qFormat/>
    <w:rsid w:val="001B0FFB"/>
    <w:rPr>
      <w:rFonts w:ascii="Calibri" w:eastAsia="Calibri" w:hAnsi="Calibri" w:cs="Times New Roman"/>
      <w:color w:val="595959"/>
      <w:sz w:val="24"/>
      <w:szCs w:val="24"/>
    </w:rPr>
  </w:style>
  <w:style w:type="character" w:customStyle="1" w:styleId="BodyChar">
    <w:name w:val="Body Char"/>
    <w:link w:val="Body"/>
    <w:rsid w:val="001B0FFB"/>
    <w:rPr>
      <w:rFonts w:ascii="Calibri" w:eastAsia="Calibri" w:hAnsi="Calibri" w:cs="Times New Roman"/>
      <w:color w:val="595959"/>
      <w:sz w:val="24"/>
      <w:szCs w:val="24"/>
    </w:rPr>
  </w:style>
  <w:style w:type="paragraph" w:styleId="ListParagraph">
    <w:name w:val="List Paragraph"/>
    <w:basedOn w:val="Normal"/>
    <w:uiPriority w:val="34"/>
    <w:rsid w:val="001B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rs.gov/irb/2004-33_IRB/ar08.html" TargetMode="External"/><Relationship Id="rId18" Type="http://schemas.openxmlformats.org/officeDocument/2006/relationships/hyperlink" Target="https://www.irs.gov/irb/2004-33_IRB/ar08.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cid:image001.png@01D7F335.97B31070" TargetMode="External"/><Relationship Id="rId17" Type="http://schemas.openxmlformats.org/officeDocument/2006/relationships/hyperlink" Target="https://www.congress.gov/bill/116th-congress/house-bill/748/text" TargetMode="External"/><Relationship Id="rId2" Type="http://schemas.openxmlformats.org/officeDocument/2006/relationships/styles" Target="styles.xml"/><Relationship Id="rId16" Type="http://schemas.openxmlformats.org/officeDocument/2006/relationships/hyperlink" Target="https://www.irs.gov/publications/p96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irs.gov/irb/2004-33_IRB/ar08.html"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rs.gov/publications/p96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MASTER%20TEMPLATES\Legal%20Content\2020%20Compliance%20Docs%20Redesign\Compliance%20Overview\EB_Compliance%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EB_Compliance Overview</Template>
  <TotalTime>2</TotalTime>
  <Pages>4</Pages>
  <Words>1494</Words>
  <Characters>8517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Margerie, Erin</dc:creator>
  <cp:lastModifiedBy>Nicole L. Fender</cp:lastModifiedBy>
  <cp:revision>2</cp:revision>
  <dcterms:created xsi:type="dcterms:W3CDTF">2021-12-22T15:44:00Z</dcterms:created>
  <dcterms:modified xsi:type="dcterms:W3CDTF">2021-12-22T15:44:00Z</dcterms:modified>
</cp:coreProperties>
</file>